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2C" w:rsidRDefault="00D44680" w:rsidP="006B442E">
      <w:pPr>
        <w:jc w:val="center"/>
      </w:pPr>
      <w:bookmarkStart w:id="0" w:name="_GoBack"/>
      <w:bookmarkEnd w:id="0"/>
      <w:r>
        <w:t>Statistics</w:t>
      </w:r>
      <w:r w:rsidR="006B442E">
        <w:t xml:space="preserve"> Research Project</w:t>
      </w:r>
    </w:p>
    <w:p w:rsidR="006B442E" w:rsidRDefault="006B442E" w:rsidP="006B442E">
      <w:pPr>
        <w:jc w:val="center"/>
      </w:pPr>
      <w:r>
        <w:t>Virginia Tallmadge</w:t>
      </w:r>
    </w:p>
    <w:p w:rsidR="006B442E" w:rsidRDefault="006B442E" w:rsidP="006B442E">
      <w:pPr>
        <w:jc w:val="center"/>
      </w:pPr>
      <w:r>
        <w:t>April 27, 2017</w:t>
      </w:r>
    </w:p>
    <w:p w:rsidR="006B442E" w:rsidRDefault="006B442E" w:rsidP="006B442E">
      <w:pPr>
        <w:jc w:val="center"/>
      </w:pPr>
    </w:p>
    <w:p w:rsidR="006B442E" w:rsidRDefault="006B442E" w:rsidP="006B442E">
      <w:pPr>
        <w:jc w:val="center"/>
        <w:rPr>
          <w:b/>
        </w:rPr>
      </w:pPr>
      <w:r>
        <w:rPr>
          <w:b/>
        </w:rPr>
        <w:t>Rate of Referrals in School Screens</w:t>
      </w:r>
    </w:p>
    <w:p w:rsidR="006B442E" w:rsidRDefault="006B442E" w:rsidP="006B442E">
      <w:pPr>
        <w:jc w:val="center"/>
      </w:pPr>
      <w:r>
        <w:t>Statement of Problem</w:t>
      </w:r>
    </w:p>
    <w:p w:rsidR="006B442E" w:rsidRDefault="006B442E" w:rsidP="00D815D6">
      <w:pPr>
        <w:spacing w:line="360" w:lineRule="auto"/>
        <w:ind w:firstLine="720"/>
      </w:pPr>
      <w:r>
        <w:t xml:space="preserve">Are referral rates for hearing, vision, and speech screens equal to one another, or are referrals more likely for one type of screen over the others?  To answer this question, I used existing data from schools screens conducted by the Marion Down’s Center </w:t>
      </w:r>
      <w:proofErr w:type="spellStart"/>
      <w:r>
        <w:t>KidScreen</w:t>
      </w:r>
      <w:proofErr w:type="spellEnd"/>
      <w:r>
        <w:t xml:space="preserve"> staff during a twelve month period in 2015. An outsider’s opinion may believe that rates of referral is higher for vision testing, than hearing or speech, but I wanted to examine the data more closely to see if there was a significant difference between the referral rates. </w:t>
      </w:r>
    </w:p>
    <w:p w:rsidR="006B442E" w:rsidRDefault="006B442E" w:rsidP="006B442E">
      <w:pPr>
        <w:ind w:firstLine="720"/>
      </w:pPr>
    </w:p>
    <w:p w:rsidR="006B442E" w:rsidRDefault="006B442E" w:rsidP="006B442E">
      <w:pPr>
        <w:ind w:firstLine="720"/>
        <w:jc w:val="center"/>
      </w:pPr>
      <w:r>
        <w:t>Methods</w:t>
      </w:r>
    </w:p>
    <w:p w:rsidR="00D815D6" w:rsidRDefault="00D815D6" w:rsidP="00D815D6">
      <w:pPr>
        <w:spacing w:line="360" w:lineRule="auto"/>
        <w:ind w:firstLine="720"/>
      </w:pPr>
      <w:r>
        <w:t xml:space="preserve">The population for my research was all students who were screened at </w:t>
      </w:r>
      <w:proofErr w:type="spellStart"/>
      <w:r>
        <w:t>KidScreen</w:t>
      </w:r>
      <w:proofErr w:type="spellEnd"/>
      <w:r>
        <w:t xml:space="preserve">. Since </w:t>
      </w:r>
      <w:proofErr w:type="spellStart"/>
      <w:r>
        <w:t>KidScreen</w:t>
      </w:r>
      <w:proofErr w:type="spellEnd"/>
      <w:r>
        <w:t xml:space="preserve"> has been screening students for over thirty years and of course </w:t>
      </w:r>
      <w:r w:rsidR="00D122E4">
        <w:t xml:space="preserve">we </w:t>
      </w:r>
      <w:r>
        <w:t xml:space="preserve">do not have accurate data of all the screening results over the entire </w:t>
      </w:r>
      <w:r w:rsidR="00D122E4">
        <w:t>existence</w:t>
      </w:r>
      <w:r>
        <w:t xml:space="preserve"> of</w:t>
      </w:r>
      <w:r w:rsidR="00D122E4">
        <w:t xml:space="preserve"> the</w:t>
      </w:r>
      <w:r>
        <w:t xml:space="preserve"> </w:t>
      </w:r>
      <w:proofErr w:type="spellStart"/>
      <w:r>
        <w:t>KidScreen</w:t>
      </w:r>
      <w:proofErr w:type="spellEnd"/>
      <w:r w:rsidR="00D122E4">
        <w:t xml:space="preserve"> program</w:t>
      </w:r>
      <w:r>
        <w:t>, I used a sample of the students screened in the year 2015. Because I had no other data determining any other factors such as advancement in screening technology or screening protocol, I had no reason to believe that the data from 2015 would be different from any other year. Therefore, I concluded that my sample was representative of the population.</w:t>
      </w:r>
    </w:p>
    <w:p w:rsidR="00305DB9" w:rsidRDefault="00D122E4" w:rsidP="00D815D6">
      <w:pPr>
        <w:spacing w:line="360" w:lineRule="auto"/>
        <w:ind w:firstLine="720"/>
      </w:pPr>
      <w:r>
        <w:t xml:space="preserve">The data was originally collected from a </w:t>
      </w:r>
      <w:proofErr w:type="spellStart"/>
      <w:r>
        <w:t>KidScreen</w:t>
      </w:r>
      <w:proofErr w:type="spellEnd"/>
      <w:r>
        <w:t xml:space="preserve"> staff member who pooled the findings from the program’s database, </w:t>
      </w:r>
      <w:proofErr w:type="spellStart"/>
      <w:r>
        <w:t>NewOrg</w:t>
      </w:r>
      <w:proofErr w:type="spellEnd"/>
      <w:r>
        <w:t>. There was some variability in the number of screens throughout the year due to scheduling factors determined by summer vacation, which saw the least amount of screens, and the “back to school” months, which saw the most screens. Because of the large sample size from the population, I believed that the mean of all samples from the sample population is approximately equal to the mean of the population, therefore satisfying the Central Limit Theorem. Further, I believed that the sample was going to be close to the true value of the number of students who have been referred for hearing, vision and speech.</w:t>
      </w:r>
    </w:p>
    <w:p w:rsidR="00D122E4" w:rsidRDefault="00D122E4" w:rsidP="00D815D6">
      <w:pPr>
        <w:spacing w:line="360" w:lineRule="auto"/>
        <w:ind w:firstLine="720"/>
      </w:pPr>
      <w:r>
        <w:lastRenderedPageBreak/>
        <w:t xml:space="preserve">Because I had an overall sample size of 5,833 total screens for 2015, the total students sampled easily satisfied the Law of Large numbers. I had no reason to believe that the data would be skewed. </w:t>
      </w:r>
      <w:r w:rsidR="00164E14">
        <w:t>It should also be noted that I changed the rates for each categories to percent’s in order to make the data a bit easier to understand.</w:t>
      </w:r>
    </w:p>
    <w:p w:rsidR="00164E14" w:rsidRDefault="0092201C" w:rsidP="00E4492E">
      <w:pPr>
        <w:spacing w:line="360" w:lineRule="auto"/>
      </w:pPr>
      <w:r>
        <w:tab/>
      </w:r>
      <w:r w:rsidR="00E4492E">
        <w:t>Because I believed that the rates of referral for vision, hearing and speech were not equal to one another, I set my alternate hypothesis</w:t>
      </w:r>
      <w:r w:rsidR="00E4492E" w:rsidRPr="006F7FE9">
        <w:rPr>
          <w:sz w:val="24"/>
        </w:rPr>
        <w:t xml:space="preserve"> </w:t>
      </w:r>
      <w:r w:rsidR="006F7FE9" w:rsidRPr="006F7FE9">
        <w:rPr>
          <w:sz w:val="24"/>
        </w:rPr>
        <w:t>H</w:t>
      </w:r>
      <w:r w:rsidR="006F7FE9" w:rsidRPr="006F7FE9">
        <w:rPr>
          <w:rFonts w:cstheme="minorHAnsi"/>
          <w:sz w:val="24"/>
        </w:rPr>
        <w:t>ₐ</w:t>
      </w:r>
      <w:r w:rsidR="006F7FE9" w:rsidRPr="006F7FE9">
        <w:rPr>
          <w:sz w:val="24"/>
        </w:rPr>
        <w:t xml:space="preserve">: </w:t>
      </w:r>
      <w:r w:rsidR="006F7FE9" w:rsidRPr="006F7FE9">
        <w:rPr>
          <w:rFonts w:cstheme="minorHAnsi"/>
          <w:sz w:val="24"/>
        </w:rPr>
        <w:t>µ</w:t>
      </w:r>
      <w:r w:rsidR="006F7FE9" w:rsidRPr="006F7FE9">
        <w:rPr>
          <w:rFonts w:cstheme="minorHAnsi"/>
          <w:sz w:val="24"/>
          <w:vertAlign w:val="subscript"/>
        </w:rPr>
        <w:t>hearing</w:t>
      </w:r>
      <w:r w:rsidR="006F7FE9" w:rsidRPr="006F7FE9">
        <w:rPr>
          <w:rFonts w:cstheme="minorHAnsi"/>
          <w:sz w:val="24"/>
        </w:rPr>
        <w:t xml:space="preserve"> ≠ µ</w:t>
      </w:r>
      <w:r w:rsidR="006F7FE9" w:rsidRPr="006F7FE9">
        <w:rPr>
          <w:rFonts w:cstheme="minorHAnsi"/>
          <w:sz w:val="24"/>
          <w:vertAlign w:val="subscript"/>
        </w:rPr>
        <w:t>vision</w:t>
      </w:r>
      <w:r w:rsidR="006F7FE9" w:rsidRPr="006F7FE9">
        <w:rPr>
          <w:rFonts w:cstheme="minorHAnsi"/>
          <w:sz w:val="24"/>
        </w:rPr>
        <w:t xml:space="preserve"> ≠ µ</w:t>
      </w:r>
      <w:r w:rsidR="006F7FE9" w:rsidRPr="006F7FE9">
        <w:rPr>
          <w:rFonts w:cstheme="minorHAnsi"/>
          <w:sz w:val="24"/>
          <w:vertAlign w:val="subscript"/>
        </w:rPr>
        <w:t>speech</w:t>
      </w:r>
      <w:r w:rsidR="006F7FE9">
        <w:rPr>
          <w:rFonts w:cstheme="minorHAnsi"/>
          <w:sz w:val="24"/>
          <w:vertAlign w:val="subscript"/>
        </w:rPr>
        <w:t xml:space="preserve">. </w:t>
      </w:r>
      <w:r w:rsidR="006F7FE9">
        <w:t>The null hypothesis that I hope to reject was that the referral rates for vision, hearing, and speech are equal to each other and reads as follows: H</w:t>
      </w:r>
      <w:r w:rsidR="006F7FE9">
        <w:rPr>
          <w:vertAlign w:val="subscript"/>
        </w:rPr>
        <w:t>o</w:t>
      </w:r>
      <w:r w:rsidR="006F7FE9">
        <w:t xml:space="preserve">: </w:t>
      </w:r>
      <w:r w:rsidR="006F7FE9" w:rsidRPr="006F7FE9">
        <w:rPr>
          <w:rFonts w:cstheme="minorHAnsi"/>
          <w:sz w:val="24"/>
        </w:rPr>
        <w:t>µ</w:t>
      </w:r>
      <w:r w:rsidR="006F7FE9" w:rsidRPr="006F7FE9">
        <w:rPr>
          <w:rFonts w:cstheme="minorHAnsi"/>
          <w:sz w:val="24"/>
          <w:vertAlign w:val="subscript"/>
        </w:rPr>
        <w:t>hearing</w:t>
      </w:r>
      <w:r w:rsidR="006F7FE9">
        <w:rPr>
          <w:rFonts w:cstheme="minorHAnsi"/>
          <w:sz w:val="24"/>
        </w:rPr>
        <w:t xml:space="preserve"> =</w:t>
      </w:r>
      <w:r w:rsidR="006F7FE9" w:rsidRPr="006F7FE9">
        <w:rPr>
          <w:rFonts w:cstheme="minorHAnsi"/>
          <w:sz w:val="24"/>
        </w:rPr>
        <w:t xml:space="preserve"> µ</w:t>
      </w:r>
      <w:r w:rsidR="006F7FE9" w:rsidRPr="006F7FE9">
        <w:rPr>
          <w:rFonts w:cstheme="minorHAnsi"/>
          <w:sz w:val="24"/>
          <w:vertAlign w:val="subscript"/>
        </w:rPr>
        <w:t>vision</w:t>
      </w:r>
      <w:r w:rsidR="006F7FE9">
        <w:rPr>
          <w:rFonts w:cstheme="minorHAnsi"/>
          <w:sz w:val="24"/>
        </w:rPr>
        <w:t xml:space="preserve"> =</w:t>
      </w:r>
      <w:r w:rsidR="006F7FE9" w:rsidRPr="006F7FE9">
        <w:rPr>
          <w:rFonts w:cstheme="minorHAnsi"/>
          <w:sz w:val="24"/>
        </w:rPr>
        <w:t xml:space="preserve"> µ</w:t>
      </w:r>
      <w:r w:rsidR="006F7FE9" w:rsidRPr="006F7FE9">
        <w:rPr>
          <w:rFonts w:cstheme="minorHAnsi"/>
          <w:sz w:val="24"/>
          <w:vertAlign w:val="subscript"/>
        </w:rPr>
        <w:t>speech</w:t>
      </w:r>
      <w:r w:rsidR="006F7FE9">
        <w:t>.</w:t>
      </w:r>
      <w:r w:rsidR="00164E14">
        <w:t xml:space="preserve"> I set my alpha level at </w:t>
      </w:r>
      <w:r w:rsidR="00164E14">
        <w:rPr>
          <w:rFonts w:cstheme="minorHAnsi"/>
        </w:rPr>
        <w:t>α</w:t>
      </w:r>
      <w:r w:rsidR="00164E14">
        <w:t xml:space="preserve"> = 0.05.</w:t>
      </w:r>
    </w:p>
    <w:p w:rsidR="00164E14" w:rsidRDefault="00164E14" w:rsidP="00E4492E">
      <w:pPr>
        <w:spacing w:line="360" w:lineRule="auto"/>
      </w:pPr>
    </w:p>
    <w:p w:rsidR="00164E14" w:rsidRDefault="00164E14" w:rsidP="00164E14">
      <w:pPr>
        <w:spacing w:line="360" w:lineRule="auto"/>
        <w:jc w:val="center"/>
      </w:pPr>
      <w:r>
        <w:t>Results</w:t>
      </w:r>
    </w:p>
    <w:p w:rsidR="00B10641" w:rsidRDefault="00B10641" w:rsidP="00B10641">
      <w:pPr>
        <w:spacing w:line="360" w:lineRule="auto"/>
      </w:pPr>
      <w:r>
        <w:tab/>
        <w:t>In order to calculate the p-value, I ran an ANOVA test in Excel using the “ANOVA: single factor” test for the data analysis. The results are listed below in Table 1.</w:t>
      </w:r>
    </w:p>
    <w:p w:rsidR="00B10641" w:rsidRDefault="00B10641" w:rsidP="00B10641">
      <w:pPr>
        <w:spacing w:line="360" w:lineRule="auto"/>
        <w:jc w:val="center"/>
      </w:pPr>
      <w:r>
        <w:t>Table 1</w:t>
      </w:r>
    </w:p>
    <w:tbl>
      <w:tblPr>
        <w:tblW w:w="9160" w:type="dxa"/>
        <w:tblInd w:w="-5" w:type="dxa"/>
        <w:tblLook w:val="04A0" w:firstRow="1" w:lastRow="0" w:firstColumn="1" w:lastColumn="0" w:noHBand="0" w:noVBand="1"/>
      </w:tblPr>
      <w:tblGrid>
        <w:gridCol w:w="2166"/>
        <w:gridCol w:w="1366"/>
        <w:gridCol w:w="1241"/>
        <w:gridCol w:w="1366"/>
        <w:gridCol w:w="1366"/>
        <w:gridCol w:w="1038"/>
        <w:gridCol w:w="1038"/>
      </w:tblGrid>
      <w:tr w:rsidR="00B10641" w:rsidRPr="00B10641" w:rsidTr="00B10641">
        <w:trPr>
          <w:trHeight w:val="315"/>
        </w:trPr>
        <w:tc>
          <w:tcPr>
            <w:tcW w:w="2200" w:type="dxa"/>
            <w:tcBorders>
              <w:top w:val="single" w:sz="4" w:space="0" w:color="auto"/>
              <w:left w:val="single" w:sz="4" w:space="0" w:color="auto"/>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ANOVA</w:t>
            </w:r>
          </w:p>
        </w:tc>
        <w:tc>
          <w:tcPr>
            <w:tcW w:w="1260" w:type="dxa"/>
            <w:tcBorders>
              <w:top w:val="single" w:sz="4" w:space="0" w:color="auto"/>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1260" w:type="dxa"/>
            <w:tcBorders>
              <w:top w:val="single" w:sz="4" w:space="0" w:color="auto"/>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1260" w:type="dxa"/>
            <w:tcBorders>
              <w:top w:val="single" w:sz="4" w:space="0" w:color="auto"/>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1260" w:type="dxa"/>
            <w:tcBorders>
              <w:top w:val="single" w:sz="4" w:space="0" w:color="auto"/>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r>
      <w:tr w:rsidR="00B10641" w:rsidRPr="00B10641" w:rsidTr="00B10641">
        <w:trPr>
          <w:trHeight w:val="300"/>
        </w:trPr>
        <w:tc>
          <w:tcPr>
            <w:tcW w:w="2200" w:type="dxa"/>
            <w:tcBorders>
              <w:top w:val="single" w:sz="8" w:space="0" w:color="auto"/>
              <w:left w:val="single" w:sz="4" w:space="0" w:color="auto"/>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Source of Variation</w:t>
            </w:r>
          </w:p>
        </w:tc>
        <w:tc>
          <w:tcPr>
            <w:tcW w:w="1260" w:type="dxa"/>
            <w:tcBorders>
              <w:top w:val="single" w:sz="8" w:space="0" w:color="auto"/>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SS</w:t>
            </w:r>
          </w:p>
        </w:tc>
        <w:tc>
          <w:tcPr>
            <w:tcW w:w="1260" w:type="dxa"/>
            <w:tcBorders>
              <w:top w:val="single" w:sz="8" w:space="0" w:color="auto"/>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proofErr w:type="spellStart"/>
            <w:r w:rsidRPr="00B10641">
              <w:rPr>
                <w:rFonts w:ascii="Calibri" w:eastAsia="Times New Roman" w:hAnsi="Calibri" w:cs="Calibri"/>
                <w:i/>
                <w:iCs/>
                <w:color w:val="000000"/>
              </w:rPr>
              <w:t>df</w:t>
            </w:r>
            <w:proofErr w:type="spellEnd"/>
          </w:p>
        </w:tc>
        <w:tc>
          <w:tcPr>
            <w:tcW w:w="1260" w:type="dxa"/>
            <w:tcBorders>
              <w:top w:val="single" w:sz="8" w:space="0" w:color="auto"/>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MS</w:t>
            </w:r>
          </w:p>
        </w:tc>
        <w:tc>
          <w:tcPr>
            <w:tcW w:w="1260" w:type="dxa"/>
            <w:tcBorders>
              <w:top w:val="single" w:sz="8" w:space="0" w:color="auto"/>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F</w:t>
            </w:r>
          </w:p>
        </w:tc>
        <w:tc>
          <w:tcPr>
            <w:tcW w:w="960" w:type="dxa"/>
            <w:tcBorders>
              <w:top w:val="single" w:sz="8" w:space="0" w:color="auto"/>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P-value</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10641" w:rsidRPr="00B10641" w:rsidRDefault="00B10641" w:rsidP="00B10641">
            <w:pPr>
              <w:spacing w:after="0" w:line="240" w:lineRule="auto"/>
              <w:jc w:val="center"/>
              <w:rPr>
                <w:rFonts w:ascii="Calibri" w:eastAsia="Times New Roman" w:hAnsi="Calibri" w:cs="Calibri"/>
                <w:i/>
                <w:iCs/>
                <w:color w:val="000000"/>
              </w:rPr>
            </w:pPr>
            <w:r w:rsidRPr="00B10641">
              <w:rPr>
                <w:rFonts w:ascii="Calibri" w:eastAsia="Times New Roman" w:hAnsi="Calibri" w:cs="Calibri"/>
                <w:i/>
                <w:iCs/>
                <w:color w:val="000000"/>
              </w:rPr>
              <w:t xml:space="preserve">F </w:t>
            </w:r>
            <w:proofErr w:type="spellStart"/>
            <w:r w:rsidRPr="00B10641">
              <w:rPr>
                <w:rFonts w:ascii="Calibri" w:eastAsia="Times New Roman" w:hAnsi="Calibri" w:cs="Calibri"/>
                <w:i/>
                <w:iCs/>
                <w:color w:val="000000"/>
              </w:rPr>
              <w:t>crit</w:t>
            </w:r>
            <w:proofErr w:type="spellEnd"/>
          </w:p>
        </w:tc>
      </w:tr>
      <w:tr w:rsidR="00B10641" w:rsidRPr="00B10641" w:rsidTr="00B10641">
        <w:trPr>
          <w:trHeight w:val="300"/>
        </w:trPr>
        <w:tc>
          <w:tcPr>
            <w:tcW w:w="2200" w:type="dxa"/>
            <w:tcBorders>
              <w:top w:val="nil"/>
              <w:left w:val="single" w:sz="4" w:space="0" w:color="auto"/>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Between Groups</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0.003757346</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2</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0.001878673</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0.632873336</w:t>
            </w:r>
          </w:p>
        </w:tc>
        <w:tc>
          <w:tcPr>
            <w:tcW w:w="9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0.537386</w:t>
            </w:r>
          </w:p>
        </w:tc>
        <w:tc>
          <w:tcPr>
            <w:tcW w:w="960" w:type="dxa"/>
            <w:tcBorders>
              <w:top w:val="nil"/>
              <w:left w:val="nil"/>
              <w:bottom w:val="nil"/>
              <w:right w:val="single" w:sz="4" w:space="0" w:color="auto"/>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3.284918</w:t>
            </w:r>
          </w:p>
        </w:tc>
      </w:tr>
      <w:tr w:rsidR="00B10641" w:rsidRPr="00B10641" w:rsidTr="00B10641">
        <w:trPr>
          <w:trHeight w:val="300"/>
        </w:trPr>
        <w:tc>
          <w:tcPr>
            <w:tcW w:w="2200" w:type="dxa"/>
            <w:tcBorders>
              <w:top w:val="nil"/>
              <w:left w:val="single" w:sz="4" w:space="0" w:color="auto"/>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Within Groups</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0.097959895</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33</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0.002968482</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r>
      <w:tr w:rsidR="00B10641" w:rsidRPr="00B10641" w:rsidTr="00B10641">
        <w:trPr>
          <w:trHeight w:val="300"/>
        </w:trPr>
        <w:tc>
          <w:tcPr>
            <w:tcW w:w="2200" w:type="dxa"/>
            <w:tcBorders>
              <w:top w:val="nil"/>
              <w:left w:val="single" w:sz="4" w:space="0" w:color="auto"/>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10641" w:rsidRPr="00B10641" w:rsidRDefault="00B10641" w:rsidP="00B1064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r>
      <w:tr w:rsidR="00B10641" w:rsidRPr="00B10641" w:rsidTr="00B10641">
        <w:trPr>
          <w:trHeight w:val="300"/>
        </w:trPr>
        <w:tc>
          <w:tcPr>
            <w:tcW w:w="2200" w:type="dxa"/>
            <w:tcBorders>
              <w:top w:val="nil"/>
              <w:left w:val="single" w:sz="4" w:space="0" w:color="auto"/>
              <w:bottom w:val="single" w:sz="4" w:space="0" w:color="auto"/>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Total</w:t>
            </w:r>
          </w:p>
        </w:tc>
        <w:tc>
          <w:tcPr>
            <w:tcW w:w="1260" w:type="dxa"/>
            <w:tcBorders>
              <w:top w:val="nil"/>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0.101717241</w:t>
            </w:r>
          </w:p>
        </w:tc>
        <w:tc>
          <w:tcPr>
            <w:tcW w:w="1260" w:type="dxa"/>
            <w:tcBorders>
              <w:top w:val="nil"/>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jc w:val="right"/>
              <w:rPr>
                <w:rFonts w:ascii="Calibri" w:eastAsia="Times New Roman" w:hAnsi="Calibri" w:cs="Calibri"/>
                <w:color w:val="000000"/>
              </w:rPr>
            </w:pPr>
            <w:r w:rsidRPr="00B10641">
              <w:rPr>
                <w:rFonts w:ascii="Calibri" w:eastAsia="Times New Roman" w:hAnsi="Calibri" w:cs="Calibri"/>
                <w:color w:val="000000"/>
              </w:rPr>
              <w:t>35</w:t>
            </w:r>
          </w:p>
        </w:tc>
        <w:tc>
          <w:tcPr>
            <w:tcW w:w="1260" w:type="dxa"/>
            <w:tcBorders>
              <w:top w:val="nil"/>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1260" w:type="dxa"/>
            <w:tcBorders>
              <w:top w:val="nil"/>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10641" w:rsidRPr="00B10641" w:rsidRDefault="00B10641" w:rsidP="00B10641">
            <w:pPr>
              <w:spacing w:after="0" w:line="240" w:lineRule="auto"/>
              <w:rPr>
                <w:rFonts w:ascii="Calibri" w:eastAsia="Times New Roman" w:hAnsi="Calibri" w:cs="Calibri"/>
                <w:color w:val="000000"/>
              </w:rPr>
            </w:pPr>
            <w:r w:rsidRPr="00B10641">
              <w:rPr>
                <w:rFonts w:ascii="Calibri" w:eastAsia="Times New Roman" w:hAnsi="Calibri" w:cs="Calibri"/>
                <w:color w:val="000000"/>
              </w:rPr>
              <w:t> </w:t>
            </w:r>
          </w:p>
        </w:tc>
      </w:tr>
    </w:tbl>
    <w:p w:rsidR="00B10641" w:rsidRDefault="00B10641" w:rsidP="00B10641">
      <w:pPr>
        <w:spacing w:line="360" w:lineRule="auto"/>
      </w:pPr>
    </w:p>
    <w:p w:rsidR="005C1536" w:rsidRDefault="00E32513" w:rsidP="00164E14">
      <w:pPr>
        <w:spacing w:line="360" w:lineRule="auto"/>
      </w:pPr>
      <w:r>
        <w:tab/>
        <w:t xml:space="preserve">For my data analysis, I calculated descriptive statistics using Excel followed by a confidence interval analysis </w:t>
      </w:r>
      <w:r w:rsidR="005C1536">
        <w:t xml:space="preserve">plotted </w:t>
      </w:r>
      <w:r>
        <w:t>using the high-low</w:t>
      </w:r>
      <w:r w:rsidR="005C1536">
        <w:t>-close</w:t>
      </w:r>
      <w:r>
        <w:t xml:space="preserve"> graph in Excel.</w:t>
      </w:r>
      <w:r w:rsidR="005C1536">
        <w:t xml:space="preserve"> The results of my descriptive data an</w:t>
      </w:r>
      <w:r w:rsidR="00B10641">
        <w:t>alysis are summarized in Table 2</w:t>
      </w:r>
      <w:r w:rsidR="005C1536">
        <w:t>.</w:t>
      </w:r>
    </w:p>
    <w:p w:rsidR="005C1536" w:rsidRDefault="00B10641" w:rsidP="005C1536">
      <w:pPr>
        <w:spacing w:line="360" w:lineRule="auto"/>
        <w:jc w:val="center"/>
      </w:pPr>
      <w:r>
        <w:t>Table 2</w:t>
      </w:r>
    </w:p>
    <w:tbl>
      <w:tblPr>
        <w:tblW w:w="8640" w:type="dxa"/>
        <w:tblInd w:w="-5" w:type="dxa"/>
        <w:tblLook w:val="04A0" w:firstRow="1" w:lastRow="0" w:firstColumn="1" w:lastColumn="0" w:noHBand="0" w:noVBand="1"/>
      </w:tblPr>
      <w:tblGrid>
        <w:gridCol w:w="2220"/>
        <w:gridCol w:w="2220"/>
        <w:gridCol w:w="2060"/>
        <w:gridCol w:w="2140"/>
      </w:tblGrid>
      <w:tr w:rsidR="005C1536" w:rsidRPr="005C1536" w:rsidTr="005C1536">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 </w:t>
            </w:r>
          </w:p>
        </w:tc>
        <w:tc>
          <w:tcPr>
            <w:tcW w:w="2220" w:type="dxa"/>
            <w:tcBorders>
              <w:top w:val="single" w:sz="4" w:space="0" w:color="auto"/>
              <w:left w:val="nil"/>
              <w:bottom w:val="single" w:sz="4" w:space="0" w:color="auto"/>
              <w:right w:val="nil"/>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Referral rate - Hearing</w:t>
            </w:r>
          </w:p>
        </w:tc>
        <w:tc>
          <w:tcPr>
            <w:tcW w:w="2060" w:type="dxa"/>
            <w:tcBorders>
              <w:top w:val="single" w:sz="4" w:space="0" w:color="auto"/>
              <w:left w:val="nil"/>
              <w:bottom w:val="single" w:sz="4" w:space="0" w:color="auto"/>
              <w:right w:val="nil"/>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Referral rate - Vision</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Referral rate - Speech</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 </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 </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Mean</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0.108769421</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0.094007939</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0.083888902</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Standard Error</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0.013357828</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0.016718719</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0.01685744</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Median</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0.101256281</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0.089854943</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0.063419118</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lastRenderedPageBreak/>
              <w:t>Mode</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color w:val="000000"/>
              </w:rPr>
            </w:pPr>
            <w:r w:rsidRPr="005C1536">
              <w:rPr>
                <w:rFonts w:ascii="Calibri" w:eastAsia="Times New Roman" w:hAnsi="Calibri" w:cs="Calibri"/>
                <w:color w:val="000000"/>
              </w:rPr>
              <w:t>#N/A</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color w:val="000000"/>
              </w:rPr>
            </w:pPr>
            <w:r w:rsidRPr="005C1536">
              <w:rPr>
                <w:rFonts w:ascii="Calibri" w:eastAsia="Times New Roman" w:hAnsi="Calibri" w:cs="Calibri"/>
                <w:color w:val="000000"/>
              </w:rPr>
              <w:t>#N/A</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center"/>
              <w:rPr>
                <w:rFonts w:ascii="Calibri" w:eastAsia="Times New Roman" w:hAnsi="Calibri" w:cs="Calibri"/>
                <w:color w:val="000000"/>
              </w:rPr>
            </w:pPr>
            <w:r w:rsidRPr="005C1536">
              <w:rPr>
                <w:rFonts w:ascii="Calibri" w:eastAsia="Times New Roman" w:hAnsi="Calibri" w:cs="Calibri"/>
                <w:color w:val="000000"/>
              </w:rPr>
              <w:t>#N/A</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Standard Deviation</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0.046272874</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0.057915343</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0.058395884</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Sample Variance</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0.002141179</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0.003354187</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0.003410079</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Kurtosis</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0.573719692</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-1.015802684</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-1.579447966</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Skewness</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0.503351192</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0.121098343</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0.431436908</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Range</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0.16969697</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0.181818182</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0.160930736</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Minimum</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0.03030303</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0.014069264</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Maximum</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0.2</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0.181818182</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0.175</w:t>
            </w:r>
          </w:p>
        </w:tc>
      </w:tr>
      <w:tr w:rsidR="005C1536" w:rsidRPr="005C1536" w:rsidTr="005C1536">
        <w:trPr>
          <w:trHeight w:val="300"/>
        </w:trPr>
        <w:tc>
          <w:tcPr>
            <w:tcW w:w="2220" w:type="dxa"/>
            <w:tcBorders>
              <w:top w:val="nil"/>
              <w:left w:val="single" w:sz="4" w:space="0" w:color="auto"/>
              <w:bottom w:val="nil"/>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Sum</w:t>
            </w:r>
          </w:p>
        </w:tc>
        <w:tc>
          <w:tcPr>
            <w:tcW w:w="222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1.305233048</w:t>
            </w:r>
          </w:p>
        </w:tc>
        <w:tc>
          <w:tcPr>
            <w:tcW w:w="2060" w:type="dxa"/>
            <w:tcBorders>
              <w:top w:val="nil"/>
              <w:left w:val="nil"/>
              <w:bottom w:val="nil"/>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1.128095272</w:t>
            </w:r>
          </w:p>
        </w:tc>
        <w:tc>
          <w:tcPr>
            <w:tcW w:w="2140" w:type="dxa"/>
            <w:tcBorders>
              <w:top w:val="nil"/>
              <w:left w:val="nil"/>
              <w:bottom w:val="nil"/>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1.006666825</w:t>
            </w:r>
          </w:p>
        </w:tc>
      </w:tr>
      <w:tr w:rsidR="005C1536" w:rsidRPr="005C1536" w:rsidTr="005C1536">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5C1536" w:rsidRPr="005C1536" w:rsidRDefault="005C1536" w:rsidP="005C1536">
            <w:pPr>
              <w:spacing w:after="0" w:line="240" w:lineRule="auto"/>
              <w:rPr>
                <w:rFonts w:ascii="Calibri" w:eastAsia="Times New Roman" w:hAnsi="Calibri" w:cs="Calibri"/>
                <w:color w:val="000000"/>
              </w:rPr>
            </w:pPr>
            <w:r w:rsidRPr="005C1536">
              <w:rPr>
                <w:rFonts w:ascii="Calibri" w:eastAsia="Times New Roman" w:hAnsi="Calibri" w:cs="Calibri"/>
                <w:color w:val="000000"/>
              </w:rPr>
              <w:t>Count</w:t>
            </w:r>
          </w:p>
        </w:tc>
        <w:tc>
          <w:tcPr>
            <w:tcW w:w="2220" w:type="dxa"/>
            <w:tcBorders>
              <w:top w:val="nil"/>
              <w:left w:val="nil"/>
              <w:bottom w:val="single" w:sz="4" w:space="0" w:color="auto"/>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12</w:t>
            </w:r>
          </w:p>
        </w:tc>
        <w:tc>
          <w:tcPr>
            <w:tcW w:w="2060" w:type="dxa"/>
            <w:tcBorders>
              <w:top w:val="nil"/>
              <w:left w:val="nil"/>
              <w:bottom w:val="single" w:sz="4" w:space="0" w:color="auto"/>
              <w:right w:val="nil"/>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12</w:t>
            </w:r>
          </w:p>
        </w:tc>
        <w:tc>
          <w:tcPr>
            <w:tcW w:w="2140" w:type="dxa"/>
            <w:tcBorders>
              <w:top w:val="nil"/>
              <w:left w:val="nil"/>
              <w:bottom w:val="single" w:sz="4" w:space="0" w:color="auto"/>
              <w:right w:val="single" w:sz="4" w:space="0" w:color="auto"/>
            </w:tcBorders>
            <w:shd w:val="clear" w:color="auto" w:fill="auto"/>
            <w:noWrap/>
            <w:vAlign w:val="bottom"/>
            <w:hideMark/>
          </w:tcPr>
          <w:p w:rsidR="005C1536" w:rsidRPr="005C1536" w:rsidRDefault="005C1536" w:rsidP="005C1536">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12</w:t>
            </w:r>
          </w:p>
        </w:tc>
      </w:tr>
    </w:tbl>
    <w:p w:rsidR="005C1536" w:rsidRDefault="005C1536" w:rsidP="005C1536">
      <w:pPr>
        <w:spacing w:line="360" w:lineRule="auto"/>
        <w:jc w:val="center"/>
      </w:pPr>
      <w:r>
        <w:t xml:space="preserve"> </w:t>
      </w:r>
    </w:p>
    <w:p w:rsidR="005C1536" w:rsidRDefault="005C1536" w:rsidP="00FC0284">
      <w:pPr>
        <w:spacing w:line="360" w:lineRule="auto"/>
        <w:ind w:firstLine="720"/>
      </w:pPr>
      <w:r>
        <w:t xml:space="preserve">The results of the confidence interval analysis are summarized </w:t>
      </w:r>
      <w:r w:rsidR="00B10641">
        <w:t>in Table 3</w:t>
      </w:r>
      <w:r>
        <w:t>.</w:t>
      </w:r>
    </w:p>
    <w:p w:rsidR="00FC0284" w:rsidRDefault="00FC0284" w:rsidP="005C1536">
      <w:pPr>
        <w:spacing w:line="360" w:lineRule="auto"/>
        <w:ind w:firstLine="720"/>
        <w:jc w:val="center"/>
      </w:pPr>
      <w:r>
        <w:t>Table</w:t>
      </w:r>
      <w:r>
        <w:t xml:space="preserve"> </w:t>
      </w:r>
      <w:r>
        <w:t>3</w:t>
      </w:r>
    </w:p>
    <w:tbl>
      <w:tblPr>
        <w:tblpPr w:leftFromText="180" w:rightFromText="180" w:vertAnchor="text" w:horzAnchor="margin" w:tblpXSpec="center" w:tblpY="377"/>
        <w:tblW w:w="7700" w:type="dxa"/>
        <w:tblLook w:val="04A0" w:firstRow="1" w:lastRow="0" w:firstColumn="1" w:lastColumn="0" w:noHBand="0" w:noVBand="1"/>
      </w:tblPr>
      <w:tblGrid>
        <w:gridCol w:w="1280"/>
        <w:gridCol w:w="2220"/>
        <w:gridCol w:w="2060"/>
        <w:gridCol w:w="2140"/>
      </w:tblGrid>
      <w:tr w:rsidR="00C92B6C" w:rsidRPr="005C1536" w:rsidTr="00C92B6C">
        <w:trPr>
          <w:trHeight w:val="300"/>
        </w:trPr>
        <w:tc>
          <w:tcPr>
            <w:tcW w:w="1280" w:type="dxa"/>
            <w:tcBorders>
              <w:top w:val="single" w:sz="4" w:space="0" w:color="auto"/>
              <w:left w:val="single" w:sz="4" w:space="0" w:color="auto"/>
              <w:bottom w:val="nil"/>
              <w:right w:val="nil"/>
            </w:tcBorders>
            <w:shd w:val="clear" w:color="auto" w:fill="auto"/>
            <w:noWrap/>
            <w:vAlign w:val="bottom"/>
            <w:hideMark/>
          </w:tcPr>
          <w:p w:rsidR="00C92B6C" w:rsidRPr="005C1536" w:rsidRDefault="00C92B6C" w:rsidP="00C92B6C">
            <w:pPr>
              <w:spacing w:after="0" w:line="240" w:lineRule="auto"/>
              <w:rPr>
                <w:rFonts w:ascii="Calibri" w:eastAsia="Times New Roman" w:hAnsi="Calibri" w:cs="Calibri"/>
                <w:color w:val="000000"/>
              </w:rPr>
            </w:pPr>
            <w:r w:rsidRPr="005C1536">
              <w:rPr>
                <w:rFonts w:ascii="Calibri" w:eastAsia="Times New Roman" w:hAnsi="Calibri" w:cs="Calibri"/>
                <w:color w:val="000000"/>
              </w:rPr>
              <w:t> </w:t>
            </w:r>
          </w:p>
        </w:tc>
        <w:tc>
          <w:tcPr>
            <w:tcW w:w="2220" w:type="dxa"/>
            <w:tcBorders>
              <w:top w:val="single" w:sz="4" w:space="0" w:color="auto"/>
              <w:left w:val="nil"/>
              <w:bottom w:val="single" w:sz="4" w:space="0" w:color="auto"/>
              <w:right w:val="nil"/>
            </w:tcBorders>
            <w:shd w:val="clear" w:color="auto" w:fill="auto"/>
            <w:noWrap/>
            <w:vAlign w:val="bottom"/>
            <w:hideMark/>
          </w:tcPr>
          <w:p w:rsidR="00C92B6C" w:rsidRPr="005C1536" w:rsidRDefault="00C92B6C" w:rsidP="00C92B6C">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 xml:space="preserve"> Hearing</w:t>
            </w:r>
          </w:p>
        </w:tc>
        <w:tc>
          <w:tcPr>
            <w:tcW w:w="2060" w:type="dxa"/>
            <w:tcBorders>
              <w:top w:val="single" w:sz="4" w:space="0" w:color="auto"/>
              <w:left w:val="nil"/>
              <w:bottom w:val="single" w:sz="4" w:space="0" w:color="auto"/>
              <w:right w:val="nil"/>
            </w:tcBorders>
            <w:shd w:val="clear" w:color="auto" w:fill="auto"/>
            <w:noWrap/>
            <w:vAlign w:val="bottom"/>
            <w:hideMark/>
          </w:tcPr>
          <w:p w:rsidR="00C92B6C" w:rsidRPr="005C1536" w:rsidRDefault="00C92B6C" w:rsidP="00C92B6C">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 xml:space="preserve"> Vision</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C92B6C" w:rsidRPr="005C1536" w:rsidRDefault="00C92B6C" w:rsidP="00C92B6C">
            <w:pPr>
              <w:spacing w:after="0" w:line="240" w:lineRule="auto"/>
              <w:jc w:val="center"/>
              <w:rPr>
                <w:rFonts w:ascii="Calibri" w:eastAsia="Times New Roman" w:hAnsi="Calibri" w:cs="Calibri"/>
                <w:i/>
                <w:iCs/>
                <w:color w:val="000000"/>
              </w:rPr>
            </w:pPr>
            <w:r w:rsidRPr="005C1536">
              <w:rPr>
                <w:rFonts w:ascii="Calibri" w:eastAsia="Times New Roman" w:hAnsi="Calibri" w:cs="Calibri"/>
                <w:i/>
                <w:iCs/>
                <w:color w:val="000000"/>
              </w:rPr>
              <w:t>Speech</w:t>
            </w:r>
          </w:p>
        </w:tc>
      </w:tr>
      <w:tr w:rsidR="00C92B6C" w:rsidRPr="005C1536" w:rsidTr="00C92B6C">
        <w:trPr>
          <w:trHeight w:val="300"/>
        </w:trPr>
        <w:tc>
          <w:tcPr>
            <w:tcW w:w="1280" w:type="dxa"/>
            <w:tcBorders>
              <w:top w:val="nil"/>
              <w:left w:val="single" w:sz="4" w:space="0" w:color="auto"/>
              <w:bottom w:val="nil"/>
              <w:right w:val="nil"/>
            </w:tcBorders>
            <w:shd w:val="clear" w:color="auto" w:fill="auto"/>
            <w:noWrap/>
            <w:vAlign w:val="bottom"/>
            <w:hideMark/>
          </w:tcPr>
          <w:p w:rsidR="00C92B6C" w:rsidRPr="005C1536" w:rsidRDefault="00C92B6C" w:rsidP="00C92B6C">
            <w:pPr>
              <w:spacing w:after="0" w:line="240" w:lineRule="auto"/>
              <w:rPr>
                <w:rFonts w:ascii="Calibri" w:eastAsia="Times New Roman" w:hAnsi="Calibri" w:cs="Calibri"/>
                <w:color w:val="000000"/>
              </w:rPr>
            </w:pPr>
            <w:r w:rsidRPr="005C1536">
              <w:rPr>
                <w:rFonts w:ascii="Calibri" w:eastAsia="Times New Roman" w:hAnsi="Calibri" w:cs="Calibri"/>
                <w:color w:val="000000"/>
              </w:rPr>
              <w:t>Upper 95% CI</w:t>
            </w:r>
          </w:p>
        </w:tc>
        <w:tc>
          <w:tcPr>
            <w:tcW w:w="2220" w:type="dxa"/>
            <w:tcBorders>
              <w:top w:val="nil"/>
              <w:left w:val="nil"/>
              <w:bottom w:val="nil"/>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0.135485077</w:t>
            </w:r>
          </w:p>
        </w:tc>
        <w:tc>
          <w:tcPr>
            <w:tcW w:w="2060" w:type="dxa"/>
            <w:tcBorders>
              <w:top w:val="nil"/>
              <w:left w:val="nil"/>
              <w:bottom w:val="nil"/>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0.127445378</w:t>
            </w:r>
          </w:p>
        </w:tc>
        <w:tc>
          <w:tcPr>
            <w:tcW w:w="2140" w:type="dxa"/>
            <w:tcBorders>
              <w:top w:val="nil"/>
              <w:left w:val="nil"/>
              <w:bottom w:val="nil"/>
              <w:right w:val="single" w:sz="4" w:space="0" w:color="auto"/>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0.117603781</w:t>
            </w:r>
          </w:p>
        </w:tc>
      </w:tr>
      <w:tr w:rsidR="00C92B6C" w:rsidRPr="005C1536" w:rsidTr="00C92B6C">
        <w:trPr>
          <w:trHeight w:val="300"/>
        </w:trPr>
        <w:tc>
          <w:tcPr>
            <w:tcW w:w="1280" w:type="dxa"/>
            <w:tcBorders>
              <w:top w:val="nil"/>
              <w:left w:val="single" w:sz="4" w:space="0" w:color="auto"/>
              <w:bottom w:val="nil"/>
              <w:right w:val="nil"/>
            </w:tcBorders>
            <w:shd w:val="clear" w:color="auto" w:fill="auto"/>
            <w:noWrap/>
            <w:vAlign w:val="bottom"/>
            <w:hideMark/>
          </w:tcPr>
          <w:p w:rsidR="00C92B6C" w:rsidRPr="005C1536" w:rsidRDefault="00C92B6C" w:rsidP="00C92B6C">
            <w:pPr>
              <w:spacing w:after="0" w:line="240" w:lineRule="auto"/>
              <w:rPr>
                <w:rFonts w:ascii="Calibri" w:eastAsia="Times New Roman" w:hAnsi="Calibri" w:cs="Calibri"/>
                <w:color w:val="000000"/>
              </w:rPr>
            </w:pPr>
            <w:r w:rsidRPr="005C1536">
              <w:rPr>
                <w:rFonts w:ascii="Calibri" w:eastAsia="Times New Roman" w:hAnsi="Calibri" w:cs="Calibri"/>
                <w:color w:val="000000"/>
              </w:rPr>
              <w:t>Lower 95% CI</w:t>
            </w:r>
          </w:p>
        </w:tc>
        <w:tc>
          <w:tcPr>
            <w:tcW w:w="2220" w:type="dxa"/>
            <w:tcBorders>
              <w:top w:val="nil"/>
              <w:left w:val="nil"/>
              <w:bottom w:val="nil"/>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0.082053764</w:t>
            </w:r>
          </w:p>
        </w:tc>
        <w:tc>
          <w:tcPr>
            <w:tcW w:w="2060" w:type="dxa"/>
            <w:tcBorders>
              <w:top w:val="nil"/>
              <w:left w:val="nil"/>
              <w:bottom w:val="nil"/>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0.060570501</w:t>
            </w:r>
          </w:p>
        </w:tc>
        <w:tc>
          <w:tcPr>
            <w:tcW w:w="2140" w:type="dxa"/>
            <w:tcBorders>
              <w:top w:val="nil"/>
              <w:left w:val="nil"/>
              <w:bottom w:val="nil"/>
              <w:right w:val="single" w:sz="4" w:space="0" w:color="auto"/>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0.050174023</w:t>
            </w:r>
          </w:p>
        </w:tc>
      </w:tr>
      <w:tr w:rsidR="00C92B6C" w:rsidRPr="005C1536" w:rsidTr="00C92B6C">
        <w:trPr>
          <w:trHeight w:val="300"/>
        </w:trPr>
        <w:tc>
          <w:tcPr>
            <w:tcW w:w="1280" w:type="dxa"/>
            <w:tcBorders>
              <w:top w:val="nil"/>
              <w:left w:val="single" w:sz="4" w:space="0" w:color="auto"/>
              <w:bottom w:val="single" w:sz="4" w:space="0" w:color="auto"/>
              <w:right w:val="nil"/>
            </w:tcBorders>
            <w:shd w:val="clear" w:color="auto" w:fill="auto"/>
            <w:noWrap/>
            <w:vAlign w:val="bottom"/>
            <w:hideMark/>
          </w:tcPr>
          <w:p w:rsidR="00C92B6C" w:rsidRPr="005C1536" w:rsidRDefault="00C92B6C" w:rsidP="00C92B6C">
            <w:pPr>
              <w:spacing w:after="0" w:line="240" w:lineRule="auto"/>
              <w:rPr>
                <w:rFonts w:ascii="Calibri" w:eastAsia="Times New Roman" w:hAnsi="Calibri" w:cs="Calibri"/>
                <w:color w:val="000000"/>
              </w:rPr>
            </w:pPr>
            <w:r w:rsidRPr="005C1536">
              <w:rPr>
                <w:rFonts w:ascii="Calibri" w:eastAsia="Times New Roman" w:hAnsi="Calibri" w:cs="Calibri"/>
                <w:color w:val="000000"/>
              </w:rPr>
              <w:t>Mean</w:t>
            </w:r>
          </w:p>
        </w:tc>
        <w:tc>
          <w:tcPr>
            <w:tcW w:w="2220" w:type="dxa"/>
            <w:tcBorders>
              <w:top w:val="nil"/>
              <w:left w:val="nil"/>
              <w:bottom w:val="single" w:sz="4" w:space="0" w:color="auto"/>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0.108769421</w:t>
            </w:r>
          </w:p>
        </w:tc>
        <w:tc>
          <w:tcPr>
            <w:tcW w:w="2060" w:type="dxa"/>
            <w:tcBorders>
              <w:top w:val="nil"/>
              <w:left w:val="nil"/>
              <w:bottom w:val="single" w:sz="4" w:space="0" w:color="auto"/>
              <w:right w:val="nil"/>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0.094007939</w:t>
            </w:r>
          </w:p>
        </w:tc>
        <w:tc>
          <w:tcPr>
            <w:tcW w:w="2140" w:type="dxa"/>
            <w:tcBorders>
              <w:top w:val="nil"/>
              <w:left w:val="nil"/>
              <w:bottom w:val="single" w:sz="4" w:space="0" w:color="auto"/>
              <w:right w:val="single" w:sz="4" w:space="0" w:color="auto"/>
            </w:tcBorders>
            <w:shd w:val="clear" w:color="auto" w:fill="auto"/>
            <w:noWrap/>
            <w:vAlign w:val="bottom"/>
            <w:hideMark/>
          </w:tcPr>
          <w:p w:rsidR="00C92B6C" w:rsidRPr="005C1536" w:rsidRDefault="00C92B6C" w:rsidP="00C92B6C">
            <w:pPr>
              <w:spacing w:after="0" w:line="240" w:lineRule="auto"/>
              <w:jc w:val="right"/>
              <w:rPr>
                <w:rFonts w:ascii="Calibri" w:eastAsia="Times New Roman" w:hAnsi="Calibri" w:cs="Calibri"/>
                <w:color w:val="000000"/>
              </w:rPr>
            </w:pPr>
            <w:r w:rsidRPr="005C1536">
              <w:rPr>
                <w:rFonts w:ascii="Calibri" w:eastAsia="Times New Roman" w:hAnsi="Calibri" w:cs="Calibri"/>
                <w:color w:val="000000"/>
              </w:rPr>
              <w:t>0.083888902</w:t>
            </w:r>
          </w:p>
        </w:tc>
      </w:tr>
    </w:tbl>
    <w:p w:rsidR="005C1536" w:rsidRDefault="00C92B6C" w:rsidP="005C1536">
      <w:pPr>
        <w:spacing w:line="360" w:lineRule="auto"/>
        <w:ind w:firstLine="720"/>
        <w:jc w:val="center"/>
      </w:pPr>
      <w:r>
        <w:t xml:space="preserve"> </w:t>
      </w:r>
    </w:p>
    <w:p w:rsidR="005C1536" w:rsidRDefault="005C1536" w:rsidP="005C1536">
      <w:pPr>
        <w:spacing w:line="360" w:lineRule="auto"/>
        <w:ind w:firstLine="720"/>
      </w:pPr>
    </w:p>
    <w:p w:rsidR="00FC0284" w:rsidRDefault="00FC0284" w:rsidP="00FC0284">
      <w:pPr>
        <w:spacing w:line="360" w:lineRule="auto"/>
      </w:pPr>
    </w:p>
    <w:p w:rsidR="00FC0284" w:rsidRDefault="00FC0284" w:rsidP="00FC0284">
      <w:pPr>
        <w:spacing w:line="360" w:lineRule="auto"/>
      </w:pPr>
    </w:p>
    <w:p w:rsidR="00B10641" w:rsidRDefault="00C92B6C" w:rsidP="00FC0284">
      <w:pPr>
        <w:spacing w:line="360" w:lineRule="auto"/>
        <w:ind w:firstLine="720"/>
      </w:pPr>
      <w:r>
        <w:t>The hi-low-close plot is shown below as Graph 1.</w:t>
      </w:r>
    </w:p>
    <w:p w:rsidR="00B10641" w:rsidRDefault="00B10641" w:rsidP="00B10641">
      <w:pPr>
        <w:spacing w:line="360" w:lineRule="auto"/>
        <w:ind w:firstLine="720"/>
        <w:jc w:val="center"/>
      </w:pPr>
      <w:r>
        <w:t>Graph 1</w:t>
      </w:r>
    </w:p>
    <w:p w:rsidR="00C92B6C" w:rsidRDefault="00C92B6C" w:rsidP="00B10641">
      <w:pPr>
        <w:spacing w:line="360" w:lineRule="auto"/>
        <w:ind w:firstLine="720"/>
      </w:pPr>
      <w:r>
        <w:rPr>
          <w:noProof/>
        </w:rPr>
        <w:drawing>
          <wp:inline distT="0" distB="0" distL="0" distR="0" wp14:anchorId="504FF0BE" wp14:editId="6353E641">
            <wp:extent cx="5011947" cy="2803584"/>
            <wp:effectExtent l="0" t="0" r="1778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565C3" w:rsidRDefault="00B10641" w:rsidP="00B10641">
      <w:pPr>
        <w:spacing w:line="360" w:lineRule="auto"/>
        <w:ind w:firstLine="720"/>
        <w:jc w:val="both"/>
      </w:pPr>
      <w:r>
        <w:lastRenderedPageBreak/>
        <w:t xml:space="preserve">Based on the results that Excel calculated for the ANOVA test (Table 1), the p-value was calculated as p = 0.537. I set my alpha level as </w:t>
      </w:r>
      <w:r>
        <w:rPr>
          <w:rFonts w:cstheme="minorHAnsi"/>
        </w:rPr>
        <w:t>α</w:t>
      </w:r>
      <w:r>
        <w:t xml:space="preserve"> = 0.05 and because the calculated p-level of my findings was greater than that, I have failed to reject the null hypothesis that the rates of referrals for each screening types are equal.</w:t>
      </w:r>
    </w:p>
    <w:p w:rsidR="00FC0284" w:rsidRDefault="00FC0284" w:rsidP="00B10641">
      <w:pPr>
        <w:spacing w:line="360" w:lineRule="auto"/>
        <w:ind w:firstLine="720"/>
        <w:jc w:val="both"/>
      </w:pPr>
    </w:p>
    <w:p w:rsidR="00A565C3" w:rsidRDefault="00A565C3" w:rsidP="00A565C3">
      <w:pPr>
        <w:spacing w:line="360" w:lineRule="auto"/>
        <w:ind w:firstLine="720"/>
        <w:jc w:val="center"/>
      </w:pPr>
      <w:r>
        <w:t>Conclusions</w:t>
      </w:r>
    </w:p>
    <w:p w:rsidR="00B10641" w:rsidRDefault="00A565C3" w:rsidP="00B10641">
      <w:pPr>
        <w:spacing w:line="360" w:lineRule="auto"/>
        <w:ind w:firstLine="720"/>
        <w:jc w:val="both"/>
      </w:pPr>
      <w:r>
        <w:t>As we can see from the hi-low-close plot (Graph 1), the rates of referral are very similar to one another. However, upon closer inspection, hearing rates were the highest of all three, vision rates were the second highest, and speech rates were the lowest. Because the rates of referral were so close to one another, it would make sense that based on my calculations, I fail to reject the null hypothesis. However, I was surprised by these findings: it would make more sense that the rates would not be equal to one another. Of course, the best way to change these findings and to successfully reject the null hypothesis in a future, more elaborate data study, would be to increase the sample size. A further study might be done by testing the rates of referrals over the</w:t>
      </w:r>
      <w:r w:rsidR="00973EF9">
        <w:t xml:space="preserve"> course of ten years in order to gather more accurate findings. </w:t>
      </w:r>
    </w:p>
    <w:p w:rsidR="000623E7" w:rsidRDefault="000623E7" w:rsidP="00B10641">
      <w:pPr>
        <w:spacing w:line="360" w:lineRule="auto"/>
        <w:ind w:firstLine="720"/>
        <w:jc w:val="both"/>
      </w:pPr>
    </w:p>
    <w:p w:rsidR="000623E7" w:rsidRDefault="000623E7" w:rsidP="00B10641">
      <w:pPr>
        <w:spacing w:line="360" w:lineRule="auto"/>
        <w:ind w:firstLine="720"/>
        <w:jc w:val="both"/>
      </w:pPr>
    </w:p>
    <w:p w:rsidR="000623E7" w:rsidRDefault="000623E7" w:rsidP="00B10641">
      <w:pPr>
        <w:spacing w:line="360" w:lineRule="auto"/>
        <w:ind w:firstLine="720"/>
        <w:jc w:val="both"/>
      </w:pPr>
    </w:p>
    <w:p w:rsidR="00FC0284" w:rsidRDefault="00FC0284">
      <w:r>
        <w:br w:type="page"/>
      </w:r>
    </w:p>
    <w:p w:rsidR="00C92B6C" w:rsidRDefault="000623E7" w:rsidP="000623E7">
      <w:pPr>
        <w:spacing w:line="360" w:lineRule="auto"/>
        <w:ind w:firstLine="720"/>
        <w:jc w:val="center"/>
      </w:pPr>
      <w:r>
        <w:lastRenderedPageBreak/>
        <w:t>References</w:t>
      </w:r>
    </w:p>
    <w:p w:rsidR="00C92B6C" w:rsidRDefault="000623E7" w:rsidP="000623E7">
      <w:pPr>
        <w:spacing w:line="360" w:lineRule="auto"/>
      </w:pPr>
      <w:r>
        <w:t xml:space="preserve">“Central Limit Theorem.” </w:t>
      </w:r>
      <w:r>
        <w:rPr>
          <w:u w:val="single"/>
        </w:rPr>
        <w:t xml:space="preserve">Investopedia.com. </w:t>
      </w:r>
      <w:r w:rsidRPr="000623E7">
        <w:t>ttp://www.investopedia.com/terms/c/central_limit_theorem.asp</w:t>
      </w: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C92B6C" w:rsidRDefault="00C92B6C" w:rsidP="00C92B6C">
      <w:pPr>
        <w:spacing w:line="360" w:lineRule="auto"/>
        <w:jc w:val="both"/>
      </w:pPr>
    </w:p>
    <w:p w:rsidR="00FC0284" w:rsidRDefault="00FC0284">
      <w:r>
        <w:br w:type="page"/>
      </w:r>
    </w:p>
    <w:p w:rsidR="00D815D6" w:rsidRDefault="00FC0284" w:rsidP="00305DB9">
      <w:pPr>
        <w:spacing w:line="360" w:lineRule="auto"/>
        <w:ind w:firstLine="720"/>
        <w:jc w:val="center"/>
      </w:pPr>
      <w:r w:rsidRPr="006549AA">
        <w:rPr>
          <w:noProof/>
        </w:rPr>
        <w:lastRenderedPageBreak/>
        <w:drawing>
          <wp:anchor distT="0" distB="0" distL="114300" distR="114300" simplePos="0" relativeHeight="251658240" behindDoc="1" locked="0" layoutInCell="1" allowOverlap="1" wp14:anchorId="6AB9EDDF" wp14:editId="79E76F28">
            <wp:simplePos x="0" y="0"/>
            <wp:positionH relativeFrom="column">
              <wp:posOffset>-330200</wp:posOffset>
            </wp:positionH>
            <wp:positionV relativeFrom="paragraph">
              <wp:posOffset>325392</wp:posOffset>
            </wp:positionV>
            <wp:extent cx="6779260" cy="454469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9260" cy="454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DB9">
        <w:t>Appendix</w:t>
      </w:r>
    </w:p>
    <w:p w:rsidR="00305DB9" w:rsidRDefault="00305DB9" w:rsidP="00305DB9">
      <w:pPr>
        <w:spacing w:line="360" w:lineRule="auto"/>
        <w:ind w:firstLine="720"/>
        <w:jc w:val="center"/>
      </w:pPr>
    </w:p>
    <w:p w:rsidR="006B442E" w:rsidRPr="006B442E" w:rsidRDefault="006B442E" w:rsidP="00D815D6">
      <w:pPr>
        <w:spacing w:line="360" w:lineRule="auto"/>
        <w:ind w:firstLine="720"/>
      </w:pPr>
    </w:p>
    <w:p w:rsidR="006B442E" w:rsidRDefault="006B442E" w:rsidP="006549AA"/>
    <w:sectPr w:rsidR="006B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2E"/>
    <w:rsid w:val="000623E7"/>
    <w:rsid w:val="00164E14"/>
    <w:rsid w:val="001A58C6"/>
    <w:rsid w:val="00305DB9"/>
    <w:rsid w:val="003152A0"/>
    <w:rsid w:val="00323B2C"/>
    <w:rsid w:val="00391150"/>
    <w:rsid w:val="005C1536"/>
    <w:rsid w:val="006549AA"/>
    <w:rsid w:val="006B442E"/>
    <w:rsid w:val="006F7FE9"/>
    <w:rsid w:val="008C1463"/>
    <w:rsid w:val="0092201C"/>
    <w:rsid w:val="00973EF9"/>
    <w:rsid w:val="00A565C3"/>
    <w:rsid w:val="00B10641"/>
    <w:rsid w:val="00C92B6C"/>
    <w:rsid w:val="00D122E4"/>
    <w:rsid w:val="00D44680"/>
    <w:rsid w:val="00D815D6"/>
    <w:rsid w:val="00E32513"/>
    <w:rsid w:val="00E4492E"/>
    <w:rsid w:val="00FC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3E7"/>
    <w:rPr>
      <w:color w:val="0563C1" w:themeColor="hyperlink"/>
      <w:u w:val="single"/>
    </w:rPr>
  </w:style>
  <w:style w:type="paragraph" w:styleId="BalloonText">
    <w:name w:val="Balloon Text"/>
    <w:basedOn w:val="Normal"/>
    <w:link w:val="BalloonTextChar"/>
    <w:uiPriority w:val="99"/>
    <w:semiHidden/>
    <w:unhideWhenUsed/>
    <w:rsid w:val="001A5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3E7"/>
    <w:rPr>
      <w:color w:val="0563C1" w:themeColor="hyperlink"/>
      <w:u w:val="single"/>
    </w:rPr>
  </w:style>
  <w:style w:type="paragraph" w:styleId="BalloonText">
    <w:name w:val="Balloon Text"/>
    <w:basedOn w:val="Normal"/>
    <w:link w:val="BalloonTextChar"/>
    <w:uiPriority w:val="99"/>
    <w:semiHidden/>
    <w:unhideWhenUsed/>
    <w:rsid w:val="001A5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0991">
      <w:bodyDiv w:val="1"/>
      <w:marLeft w:val="0"/>
      <w:marRight w:val="0"/>
      <w:marTop w:val="0"/>
      <w:marBottom w:val="0"/>
      <w:divBdr>
        <w:top w:val="none" w:sz="0" w:space="0" w:color="auto"/>
        <w:left w:val="none" w:sz="0" w:space="0" w:color="auto"/>
        <w:bottom w:val="none" w:sz="0" w:space="0" w:color="auto"/>
        <w:right w:val="none" w:sz="0" w:space="0" w:color="auto"/>
      </w:divBdr>
    </w:div>
    <w:div w:id="684401363">
      <w:bodyDiv w:val="1"/>
      <w:marLeft w:val="0"/>
      <w:marRight w:val="0"/>
      <w:marTop w:val="0"/>
      <w:marBottom w:val="0"/>
      <w:divBdr>
        <w:top w:val="none" w:sz="0" w:space="0" w:color="auto"/>
        <w:left w:val="none" w:sz="0" w:space="0" w:color="auto"/>
        <w:bottom w:val="none" w:sz="0" w:space="0" w:color="auto"/>
        <w:right w:val="none" w:sz="0" w:space="0" w:color="auto"/>
      </w:divBdr>
    </w:div>
    <w:div w:id="868026503">
      <w:bodyDiv w:val="1"/>
      <w:marLeft w:val="0"/>
      <w:marRight w:val="0"/>
      <w:marTop w:val="0"/>
      <w:marBottom w:val="0"/>
      <w:divBdr>
        <w:top w:val="none" w:sz="0" w:space="0" w:color="auto"/>
        <w:left w:val="none" w:sz="0" w:space="0" w:color="auto"/>
        <w:bottom w:val="none" w:sz="0" w:space="0" w:color="auto"/>
        <w:right w:val="none" w:sz="0" w:space="0" w:color="auto"/>
      </w:divBdr>
    </w:div>
    <w:div w:id="907304545">
      <w:bodyDiv w:val="1"/>
      <w:marLeft w:val="0"/>
      <w:marRight w:val="0"/>
      <w:marTop w:val="0"/>
      <w:marBottom w:val="0"/>
      <w:divBdr>
        <w:top w:val="none" w:sz="0" w:space="0" w:color="auto"/>
        <w:left w:val="none" w:sz="0" w:space="0" w:color="auto"/>
        <w:bottom w:val="none" w:sz="0" w:space="0" w:color="auto"/>
        <w:right w:val="none" w:sz="0" w:space="0" w:color="auto"/>
      </w:divBdr>
    </w:div>
    <w:div w:id="1105806356">
      <w:bodyDiv w:val="1"/>
      <w:marLeft w:val="0"/>
      <w:marRight w:val="0"/>
      <w:marTop w:val="0"/>
      <w:marBottom w:val="0"/>
      <w:divBdr>
        <w:top w:val="none" w:sz="0" w:space="0" w:color="auto"/>
        <w:left w:val="none" w:sz="0" w:space="0" w:color="auto"/>
        <w:bottom w:val="none" w:sz="0" w:space="0" w:color="auto"/>
        <w:right w:val="none" w:sz="0" w:space="0" w:color="auto"/>
      </w:divBdr>
    </w:div>
    <w:div w:id="17118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204\Desktop\Stats%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Rates of Referral</a:t>
            </a:r>
          </a:p>
        </c:rich>
      </c:tx>
      <c:overlay val="0"/>
      <c:spPr>
        <a:noFill/>
        <a:ln>
          <a:noFill/>
        </a:ln>
        <a:effectLst/>
      </c:spPr>
    </c:title>
    <c:autoTitleDeleted val="0"/>
    <c:plotArea>
      <c:layout/>
      <c:stockChart>
        <c:ser>
          <c:idx val="0"/>
          <c:order val="0"/>
          <c:tx>
            <c:strRef>
              <c:f>Sheet3!$F$2</c:f>
              <c:strCache>
                <c:ptCount val="1"/>
                <c:pt idx="0">
                  <c:v>Upper 95% CI</c:v>
                </c:pt>
              </c:strCache>
            </c:strRef>
          </c:tx>
          <c:spPr>
            <a:ln w="25400" cap="rnd">
              <a:noFill/>
              <a:round/>
            </a:ln>
            <a:effectLst/>
          </c:spPr>
          <c:marker>
            <c:symbol val="circle"/>
            <c:size val="6"/>
            <c:spPr>
              <a:solidFill>
                <a:schemeClr val="accent1">
                  <a:alpha val="85000"/>
                </a:schemeClr>
              </a:solidFill>
              <a:ln>
                <a:noFill/>
              </a:ln>
              <a:effectLst/>
            </c:spPr>
          </c:marker>
          <c:cat>
            <c:strRef>
              <c:f>Sheet3!$G$1:$I$1</c:f>
              <c:strCache>
                <c:ptCount val="3"/>
                <c:pt idx="0">
                  <c:v> Hearing</c:v>
                </c:pt>
                <c:pt idx="1">
                  <c:v> Vision</c:v>
                </c:pt>
                <c:pt idx="2">
                  <c:v>Speech</c:v>
                </c:pt>
              </c:strCache>
            </c:strRef>
          </c:cat>
          <c:val>
            <c:numRef>
              <c:f>Sheet3!$G$2:$I$2</c:f>
              <c:numCache>
                <c:formatCode>General</c:formatCode>
                <c:ptCount val="3"/>
                <c:pt idx="0">
                  <c:v>0.13548507713723493</c:v>
                </c:pt>
                <c:pt idx="1">
                  <c:v>0.12744537797739744</c:v>
                </c:pt>
                <c:pt idx="2">
                  <c:v>0.11760378122602928</c:v>
                </c:pt>
              </c:numCache>
            </c:numRef>
          </c:val>
          <c:smooth val="0"/>
        </c:ser>
        <c:ser>
          <c:idx val="1"/>
          <c:order val="1"/>
          <c:tx>
            <c:strRef>
              <c:f>Sheet3!$F$3</c:f>
              <c:strCache>
                <c:ptCount val="1"/>
                <c:pt idx="0">
                  <c:v>Lower 95% CI</c:v>
                </c:pt>
              </c:strCache>
            </c:strRef>
          </c:tx>
          <c:spPr>
            <a:ln w="25400" cap="rnd">
              <a:noFill/>
              <a:round/>
            </a:ln>
            <a:effectLst/>
          </c:spPr>
          <c:marker>
            <c:symbol val="circle"/>
            <c:size val="6"/>
            <c:spPr>
              <a:solidFill>
                <a:schemeClr val="accent2">
                  <a:alpha val="85000"/>
                </a:schemeClr>
              </a:solidFill>
              <a:ln>
                <a:noFill/>
              </a:ln>
              <a:effectLst/>
            </c:spPr>
          </c:marker>
          <c:cat>
            <c:strRef>
              <c:f>Sheet3!$G$1:$I$1</c:f>
              <c:strCache>
                <c:ptCount val="3"/>
                <c:pt idx="0">
                  <c:v> Hearing</c:v>
                </c:pt>
                <c:pt idx="1">
                  <c:v> Vision</c:v>
                </c:pt>
                <c:pt idx="2">
                  <c:v>Speech</c:v>
                </c:pt>
              </c:strCache>
            </c:strRef>
          </c:cat>
          <c:val>
            <c:numRef>
              <c:f>Sheet3!$G$3:$I$3</c:f>
              <c:numCache>
                <c:formatCode>General</c:formatCode>
                <c:ptCount val="3"/>
                <c:pt idx="0">
                  <c:v>8.2053764213377817E-2</c:v>
                </c:pt>
                <c:pt idx="1">
                  <c:v>6.0570500656674763E-2</c:v>
                </c:pt>
                <c:pt idx="2">
                  <c:v>5.0174022934885529E-2</c:v>
                </c:pt>
              </c:numCache>
            </c:numRef>
          </c:val>
          <c:smooth val="0"/>
        </c:ser>
        <c:ser>
          <c:idx val="2"/>
          <c:order val="2"/>
          <c:tx>
            <c:strRef>
              <c:f>Sheet3!$F$4</c:f>
              <c:strCache>
                <c:ptCount val="1"/>
                <c:pt idx="0">
                  <c:v>Mean</c:v>
                </c:pt>
              </c:strCache>
            </c:strRef>
          </c:tx>
          <c:spPr>
            <a:ln w="25400" cap="rnd">
              <a:noFill/>
              <a:round/>
            </a:ln>
            <a:effectLst/>
          </c:spPr>
          <c:marker>
            <c:symbol val="circle"/>
            <c:size val="6"/>
            <c:spPr>
              <a:solidFill>
                <a:schemeClr val="accent3">
                  <a:alpha val="85000"/>
                </a:schemeClr>
              </a:solidFill>
              <a:ln>
                <a:noFill/>
              </a:ln>
              <a:effectLst/>
            </c:spPr>
          </c:marker>
          <c:cat>
            <c:strRef>
              <c:f>Sheet3!$G$1:$I$1</c:f>
              <c:strCache>
                <c:ptCount val="3"/>
                <c:pt idx="0">
                  <c:v> Hearing</c:v>
                </c:pt>
                <c:pt idx="1">
                  <c:v> Vision</c:v>
                </c:pt>
                <c:pt idx="2">
                  <c:v>Speech</c:v>
                </c:pt>
              </c:strCache>
            </c:strRef>
          </c:cat>
          <c:val>
            <c:numRef>
              <c:f>Sheet3!$G$4:$I$4</c:f>
              <c:numCache>
                <c:formatCode>General</c:formatCode>
                <c:ptCount val="3"/>
                <c:pt idx="0">
                  <c:v>0.10876942067530637</c:v>
                </c:pt>
                <c:pt idx="1">
                  <c:v>9.4007939317036104E-2</c:v>
                </c:pt>
                <c:pt idx="2">
                  <c:v>8.3888902080457406E-2</c:v>
                </c:pt>
              </c:numCache>
            </c:numRef>
          </c:val>
          <c:smooth val="0"/>
        </c:ser>
        <c:dLbls>
          <c:showLegendKey val="0"/>
          <c:showVal val="0"/>
          <c:showCatName val="0"/>
          <c:showSerName val="0"/>
          <c:showPercent val="0"/>
          <c:showBubbleSize val="0"/>
        </c:dLbls>
        <c:hiLowLines>
          <c:spPr>
            <a:ln w="15875" cap="flat" cmpd="sng" algn="ctr">
              <a:solidFill>
                <a:schemeClr val="dk1">
                  <a:lumMod val="65000"/>
                  <a:lumOff val="35000"/>
                </a:schemeClr>
              </a:solidFill>
              <a:round/>
            </a:ln>
            <a:effectLst/>
          </c:spPr>
        </c:hiLowLines>
        <c:axId val="134468736"/>
        <c:axId val="134470656"/>
      </c:stockChart>
      <c:catAx>
        <c:axId val="1344687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Referral Type</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4470656"/>
        <c:crosses val="autoZero"/>
        <c:auto val="1"/>
        <c:lblAlgn val="ctr"/>
        <c:lblOffset val="100"/>
        <c:noMultiLvlLbl val="0"/>
      </c:catAx>
      <c:valAx>
        <c:axId val="1344706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Rate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44687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805A-E916-49B8-9574-733D9F7F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Tallmadge</dc:creator>
  <cp:lastModifiedBy>Owner</cp:lastModifiedBy>
  <cp:revision>3</cp:revision>
  <cp:lastPrinted>2017-04-27T21:02:00Z</cp:lastPrinted>
  <dcterms:created xsi:type="dcterms:W3CDTF">2018-03-18T03:01:00Z</dcterms:created>
  <dcterms:modified xsi:type="dcterms:W3CDTF">2018-03-18T03:05:00Z</dcterms:modified>
</cp:coreProperties>
</file>