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68AC" w14:textId="5AB0A29D" w:rsidR="002A09A0" w:rsidRDefault="00C108BA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EAF96FF" wp14:editId="6A74A6BD">
                <wp:simplePos x="0" y="0"/>
                <wp:positionH relativeFrom="column">
                  <wp:posOffset>-598170</wp:posOffset>
                </wp:positionH>
                <wp:positionV relativeFrom="paragraph">
                  <wp:posOffset>-444409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34F314FF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6C793D3F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pt;margin-top:-35pt;width:600pt;height:66pt;z-index:251638272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34F314FF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6C793D3F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C0F70E5" w14:textId="079E3053" w:rsidR="0049770F" w:rsidRDefault="0049770F" w:rsidP="0049770F">
      <w:pPr>
        <w:pStyle w:val="Heading2"/>
        <w:autoSpaceDE w:val="0"/>
        <w:autoSpaceDN w:val="0"/>
        <w:adjustRightInd w:val="0"/>
        <w:jc w:val="left"/>
      </w:pPr>
    </w:p>
    <w:p w14:paraId="576AD6AF" w14:textId="7F9542C7" w:rsidR="0049770F" w:rsidRPr="00C108BA" w:rsidRDefault="0049770F" w:rsidP="0049770F">
      <w:pPr>
        <w:rPr>
          <w:sz w:val="16"/>
          <w:szCs w:val="16"/>
        </w:rPr>
      </w:pPr>
    </w:p>
    <w:p w14:paraId="38BADB14" w14:textId="77777777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04275A1F" w14:textId="2B2D5BA7" w:rsidR="00152B5F" w:rsidRDefault="00FB6DC3" w:rsidP="0045301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Unit 8 Part</w:t>
      </w:r>
      <w:r w:rsidR="00453011">
        <w:rPr>
          <w:sz w:val="28"/>
          <w:szCs w:val="28"/>
        </w:rPr>
        <w:t xml:space="preserve"> 1</w:t>
      </w:r>
      <w:r w:rsidR="00397A2A">
        <w:rPr>
          <w:sz w:val="28"/>
          <w:szCs w:val="28"/>
        </w:rPr>
        <w:t>6</w:t>
      </w:r>
      <w:r w:rsidR="000A1677">
        <w:rPr>
          <w:sz w:val="28"/>
          <w:szCs w:val="28"/>
        </w:rPr>
        <w:t xml:space="preserve"> Readings</w:t>
      </w:r>
      <w:r w:rsidR="000A1677" w:rsidRPr="00043154">
        <w:rPr>
          <w:sz w:val="28"/>
          <w:szCs w:val="28"/>
        </w:rPr>
        <w:t xml:space="preserve"> </w:t>
      </w:r>
      <w:r w:rsidR="009B6F13">
        <w:rPr>
          <w:sz w:val="28"/>
          <w:szCs w:val="28"/>
        </w:rPr>
        <w:t>–</w:t>
      </w:r>
      <w:r w:rsidR="00502586">
        <w:rPr>
          <w:sz w:val="28"/>
          <w:szCs w:val="28"/>
        </w:rPr>
        <w:t xml:space="preserve"> </w:t>
      </w:r>
      <w:r w:rsidR="0039146A">
        <w:rPr>
          <w:sz w:val="28"/>
          <w:szCs w:val="28"/>
        </w:rPr>
        <w:t>Reverse Chain Rule</w:t>
      </w:r>
    </w:p>
    <w:p w14:paraId="102E07E6" w14:textId="77777777" w:rsidR="00AB1227" w:rsidRPr="00AB1227" w:rsidRDefault="00AB1227" w:rsidP="00AB1227">
      <w:pPr>
        <w:rPr>
          <w:sz w:val="8"/>
          <w:szCs w:val="8"/>
        </w:rPr>
      </w:pPr>
    </w:p>
    <w:p w14:paraId="7BD4CFB2" w14:textId="29FC3B29" w:rsidR="00152B5F" w:rsidRDefault="00BE7EB7" w:rsidP="00C108BA">
      <w:pPr>
        <w:rPr>
          <w:b/>
          <w:bCs/>
        </w:rPr>
      </w:pPr>
      <w:r>
        <w:rPr>
          <w:b/>
          <w:bCs/>
        </w:rPr>
        <w:t>Reverse Chain</w:t>
      </w:r>
      <w:r w:rsidRPr="00BE7EB7">
        <w:rPr>
          <w:b/>
          <w:bCs/>
        </w:rPr>
        <w:t xml:space="preserve"> Rule:  </w:t>
      </w:r>
      <w:r>
        <w:rPr>
          <w:b/>
          <w:bCs/>
        </w:rPr>
        <w:t xml:space="preserve">  </w:t>
      </w:r>
      <w:r w:rsidR="00152B5F">
        <w:rPr>
          <w:rFonts w:ascii="Courier New" w:hAnsi="Courier New" w:cs="Courier New"/>
          <w:i/>
          <w:iCs/>
        </w:rPr>
        <w:t xml:space="preserve">∫ </w:t>
      </w:r>
      <w:r w:rsidR="00152B5F">
        <w:rPr>
          <w:rFonts w:ascii="Times New Roman" w:hAnsi="Times New Roman" w:cs="Times New Roman"/>
          <w:i/>
          <w:iCs/>
        </w:rPr>
        <w:t>u</w:t>
      </w:r>
      <w:r w:rsidR="00152B5F">
        <w:rPr>
          <w:vertAlign w:val="superscript"/>
        </w:rPr>
        <w:t>n</w:t>
      </w:r>
      <w:r w:rsidR="00152B5F">
        <w:rPr>
          <w:rFonts w:ascii="Times New Roman" w:hAnsi="Times New Roman" w:cs="Times New Roman"/>
          <w:i/>
          <w:iCs/>
        </w:rPr>
        <w:t xml:space="preserve"> du</w:t>
      </w:r>
      <w:r w:rsidR="00152B5F">
        <w:t xml:space="preserve"> =</w:t>
      </w:r>
      <w:r w:rsidR="00EA5001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/>
              </w:rPr>
              <m:t>n+1</m:t>
            </m:r>
          </m:den>
        </m:f>
      </m:oMath>
      <w:r w:rsidR="00EA5001">
        <w:t xml:space="preserve"> + c    </w:t>
      </w:r>
      <w:r w:rsidR="00152B5F">
        <w:t xml:space="preserve"> </w:t>
      </w:r>
    </w:p>
    <w:p w14:paraId="49ACB1BA" w14:textId="77777777" w:rsidR="00152B5F" w:rsidRDefault="00152B5F" w:rsidP="00152B5F">
      <w:pPr>
        <w:pStyle w:val="ITTParagraph"/>
        <w:autoSpaceDE/>
        <w:autoSpaceDN/>
        <w:adjustRightInd/>
        <w:spacing w:before="0"/>
        <w:rPr>
          <w:sz w:val="8"/>
          <w:szCs w:val="8"/>
        </w:rPr>
      </w:pPr>
    </w:p>
    <w:p w14:paraId="47F4CCA0" w14:textId="20E972AB" w:rsidR="00152B5F" w:rsidRDefault="0039146A" w:rsidP="00152B5F">
      <w:r>
        <w:t xml:space="preserve">The Reverse Chain Rule is also called </w:t>
      </w:r>
      <w:r w:rsidRPr="0039146A">
        <w:t>“</w:t>
      </w:r>
      <w:r w:rsidRPr="0039146A">
        <w:rPr>
          <w:b/>
          <w:bCs/>
        </w:rPr>
        <w:t>integration by substitution</w:t>
      </w:r>
      <w:r w:rsidRPr="0039146A">
        <w:t>” or “</w:t>
      </w:r>
      <w:r w:rsidRPr="0039146A">
        <w:rPr>
          <w:b/>
          <w:bCs/>
        </w:rPr>
        <w:t>u-substitution</w:t>
      </w:r>
      <w:r w:rsidRPr="0039146A">
        <w:t>”</w:t>
      </w:r>
    </w:p>
    <w:p w14:paraId="3E499197" w14:textId="684657B3" w:rsidR="00BF35F9" w:rsidRPr="0039146A" w:rsidRDefault="00BF35F9" w:rsidP="00BF35F9">
      <w:pPr>
        <w:pStyle w:val="ITTParagraph"/>
        <w:spacing w:before="0"/>
      </w:pPr>
      <w:r>
        <w:rPr>
          <w:b/>
          <w:bCs/>
        </w:rPr>
        <w:t xml:space="preserve">Derivatives of Transcendental </w:t>
      </w:r>
      <w:proofErr w:type="gramStart"/>
      <w:r>
        <w:rPr>
          <w:b/>
          <w:bCs/>
        </w:rPr>
        <w:t xml:space="preserve">Functions  </w:t>
      </w:r>
      <w:r w:rsidR="0039146A" w:rsidRPr="0039146A">
        <w:t>(</w:t>
      </w:r>
      <w:proofErr w:type="gramEnd"/>
      <w:r w:rsidR="0039146A" w:rsidRPr="0039146A">
        <w:t>used in Reverse Chain Rule problems)</w:t>
      </w:r>
    </w:p>
    <w:p w14:paraId="276311BE" w14:textId="77777777" w:rsidR="00BF35F9" w:rsidRPr="00BF35F9" w:rsidRDefault="00BF35F9" w:rsidP="00BF35F9">
      <w:pPr>
        <w:rPr>
          <w:sz w:val="8"/>
          <w:szCs w:val="8"/>
        </w:rPr>
      </w:pPr>
    </w:p>
    <w:p w14:paraId="1EAC6F3B" w14:textId="05D45EC2" w:rsidR="00BF35F9" w:rsidRDefault="00000000" w:rsidP="00BF35F9">
      <w:pPr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sin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t xml:space="preserve"> = cos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 w:rsidRPr="000A167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  <w:r w:rsidR="00BF35F9">
        <w:tab/>
      </w:r>
      <w:r w:rsidR="00BF35F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cot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 xml:space="preserve">u </w:t>
      </w:r>
      <w:r w:rsidR="00BF35F9">
        <w:rPr>
          <w:noProof/>
        </w:rPr>
        <w:t>=  csc</w:t>
      </w:r>
      <w:r w:rsidR="00BF35F9">
        <w:rPr>
          <w:noProof/>
          <w:vertAlign w:val="superscript"/>
        </w:rPr>
        <w:t xml:space="preserve"> 2</w:t>
      </w:r>
      <w:r w:rsidR="00BF35F9">
        <w:rPr>
          <w:noProof/>
        </w:rPr>
        <w:t xml:space="preserve">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 xml:space="preserve">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</w:p>
    <w:p w14:paraId="5833EFAB" w14:textId="77777777" w:rsidR="00BF35F9" w:rsidRDefault="00BF35F9" w:rsidP="00BF35F9">
      <w:pPr>
        <w:ind w:left="720"/>
      </w:pPr>
    </w:p>
    <w:p w14:paraId="5B7E46AA" w14:textId="5C866EFE" w:rsidR="00BF35F9" w:rsidRDefault="00000000" w:rsidP="00BF35F9">
      <w:pPr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cos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t xml:space="preserve"> = </w:t>
      </w:r>
      <w:r w:rsidR="00BF35F9" w:rsidRPr="00291282">
        <w:rPr>
          <w:bCs/>
        </w:rPr>
        <w:t>–</w:t>
      </w:r>
      <w:r w:rsidR="00BF35F9">
        <w:t xml:space="preserve">sin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 w:rsidRPr="000A167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  <w:r w:rsidR="00BF35F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</w:t>
      </w:r>
      <w:r w:rsidR="00BF35F9">
        <w:rPr>
          <w:noProof/>
        </w:rPr>
        <w:t xml:space="preserve">sec </w:t>
      </w:r>
      <w:proofErr w:type="gramStart"/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rPr>
          <w:noProof/>
        </w:rPr>
        <w:t xml:space="preserve">  =</w:t>
      </w:r>
      <w:proofErr w:type="gramEnd"/>
      <w:r w:rsidR="00BF35F9">
        <w:rPr>
          <w:noProof/>
        </w:rPr>
        <w:t xml:space="preserve">  sec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rPr>
          <w:noProof/>
        </w:rPr>
        <w:t xml:space="preserve"> tan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 xml:space="preserve">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</w:p>
    <w:p w14:paraId="1669D5E8" w14:textId="77777777" w:rsidR="00BF35F9" w:rsidRDefault="00BF35F9" w:rsidP="00BF35F9">
      <w:pPr>
        <w:ind w:left="720"/>
      </w:pPr>
    </w:p>
    <w:p w14:paraId="753FD934" w14:textId="3683D9F4" w:rsidR="00BF35F9" w:rsidRDefault="00000000" w:rsidP="00BF35F9">
      <w:pPr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tan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t xml:space="preserve"> = sec</w:t>
      </w:r>
      <w:r w:rsidR="00BF35F9" w:rsidRPr="000A1677">
        <w:rPr>
          <w:vertAlign w:val="superscript"/>
        </w:rPr>
        <w:t>2</w:t>
      </w:r>
      <w:r w:rsidR="00BF35F9">
        <w:t xml:space="preserve">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 w:rsidRPr="000A167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  <w:r w:rsidR="00BF35F9">
        <w:tab/>
      </w:r>
      <w:r w:rsidR="00BF35F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</w:t>
      </w:r>
      <w:r w:rsidR="00BF35F9">
        <w:rPr>
          <w:noProof/>
        </w:rPr>
        <w:t xml:space="preserve">csc </w:t>
      </w:r>
      <w:proofErr w:type="gramStart"/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rPr>
          <w:noProof/>
        </w:rPr>
        <w:t xml:space="preserve">  =</w:t>
      </w:r>
      <w:proofErr w:type="gramEnd"/>
      <w:r w:rsidR="00BF35F9">
        <w:rPr>
          <w:noProof/>
        </w:rPr>
        <w:t xml:space="preserve">  csc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rPr>
          <w:noProof/>
        </w:rPr>
        <w:t xml:space="preserve"> cot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 xml:space="preserve">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</w:p>
    <w:p w14:paraId="2D7C9B60" w14:textId="77777777" w:rsidR="00BF35F9" w:rsidRDefault="00BF35F9" w:rsidP="00BF35F9">
      <w:pPr>
        <w:ind w:left="720"/>
      </w:pPr>
    </w:p>
    <w:p w14:paraId="2061728A" w14:textId="46D53C03" w:rsidR="00BF35F9" w:rsidRDefault="00000000" w:rsidP="00BF35F9">
      <w:pPr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sin</w:t>
      </w:r>
      <w:r w:rsidR="00BF35F9" w:rsidRPr="000A1677">
        <w:rPr>
          <w:vertAlign w:val="superscript"/>
        </w:rPr>
        <w:t>-1</w:t>
      </w:r>
      <w:r w:rsidR="00BF35F9">
        <w:t xml:space="preserve">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t xml:space="preserve"> = </w:t>
      </w:r>
      <w:r w:rsidR="00BF35F9" w:rsidRPr="000A167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BF35F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  <w:r w:rsidR="00BF35F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cot</w:t>
      </w:r>
      <w:r w:rsidR="00BF35F9">
        <w:rPr>
          <w:vertAlign w:val="superscript"/>
        </w:rPr>
        <w:t xml:space="preserve"> -1</w:t>
      </w:r>
      <w:r w:rsidR="00BF35F9">
        <w:t xml:space="preserve"> </w:t>
      </w:r>
      <w:proofErr w:type="gramStart"/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t xml:space="preserve">  =</w:t>
      </w:r>
      <w:proofErr w:type="gramEnd"/>
      <w:r w:rsidR="00BF35F9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BF35F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</w:p>
    <w:p w14:paraId="5573E89B" w14:textId="77777777" w:rsidR="00BF35F9" w:rsidRDefault="00BF35F9" w:rsidP="00BF35F9">
      <w:pPr>
        <w:ind w:left="720"/>
      </w:pPr>
    </w:p>
    <w:p w14:paraId="5AAF5F4B" w14:textId="041BD45A" w:rsidR="00BF35F9" w:rsidRDefault="00000000" w:rsidP="00BF35F9">
      <w:pPr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cos</w:t>
      </w:r>
      <w:r w:rsidR="00BF35F9" w:rsidRPr="000A1677">
        <w:rPr>
          <w:vertAlign w:val="superscript"/>
        </w:rPr>
        <w:t>-1</w:t>
      </w:r>
      <w:r w:rsidR="00BF35F9">
        <w:t xml:space="preserve">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t xml:space="preserve">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BF35F9"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  <w:r w:rsidR="00BF35F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sec</w:t>
      </w:r>
      <w:r w:rsidR="00BF35F9" w:rsidRPr="007B2FAE">
        <w:rPr>
          <w:vertAlign w:val="superscript"/>
        </w:rPr>
        <w:t>-1</w:t>
      </w:r>
      <w:r w:rsidR="00BF35F9">
        <w:t xml:space="preserve">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 xml:space="preserve">u </w:t>
      </w:r>
      <w:r w:rsidR="00BF35F9">
        <w:rPr>
          <w:noProof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BF35F9">
        <w:rPr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</w:p>
    <w:p w14:paraId="14E7AA0C" w14:textId="77777777" w:rsidR="00BF35F9" w:rsidRDefault="00BF35F9" w:rsidP="00BF35F9">
      <w:pPr>
        <w:ind w:left="720"/>
      </w:pPr>
    </w:p>
    <w:p w14:paraId="1673541F" w14:textId="74D0B393" w:rsidR="00BF35F9" w:rsidRDefault="00000000" w:rsidP="00BF35F9">
      <w:pPr>
        <w:ind w:left="720"/>
        <w:rPr>
          <w:noProof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tan</w:t>
      </w:r>
      <w:r w:rsidR="00BF35F9" w:rsidRPr="007B2FAE">
        <w:rPr>
          <w:vertAlign w:val="superscript"/>
        </w:rPr>
        <w:t>-1</w:t>
      </w:r>
      <w:r w:rsidR="00BF35F9">
        <w:t xml:space="preserve">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BF35F9" w:rsidRPr="000A167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  <w:r w:rsidR="00BF35F9">
        <w:tab/>
      </w:r>
      <w:r w:rsidR="00BF35F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c</w:t>
      </w:r>
      <w:r w:rsidR="00BF35F9">
        <w:rPr>
          <w:noProof/>
        </w:rPr>
        <w:t>sc</w:t>
      </w:r>
      <w:r w:rsidR="00BF35F9" w:rsidRPr="007B2FAE">
        <w:rPr>
          <w:noProof/>
          <w:vertAlign w:val="superscript"/>
        </w:rPr>
        <w:t>-1</w:t>
      </w:r>
      <w:r w:rsidR="00BF35F9">
        <w:rPr>
          <w:noProof/>
        </w:rPr>
        <w:t xml:space="preserve"> </w:t>
      </w:r>
      <w:proofErr w:type="gramStart"/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rPr>
          <w:noProof/>
        </w:rPr>
        <w:t xml:space="preserve">  =</w:t>
      </w:r>
      <w:proofErr w:type="gramEnd"/>
      <w:r w:rsidR="00BF35F9">
        <w:rPr>
          <w:noProof/>
        </w:rPr>
        <w:t xml:space="preserve">  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="00BF35F9">
        <w:rPr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</w:p>
    <w:p w14:paraId="616EE0DB" w14:textId="77777777" w:rsidR="00BF35F9" w:rsidRDefault="00BF35F9" w:rsidP="00BF35F9">
      <w:pPr>
        <w:ind w:left="720"/>
      </w:pPr>
    </w:p>
    <w:p w14:paraId="75B52937" w14:textId="50A3749F" w:rsidR="00BF35F9" w:rsidRDefault="00000000" w:rsidP="00BF35F9">
      <w:pPr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log</w:t>
      </w:r>
      <w:r w:rsidR="00BF35F9" w:rsidRPr="007B2FAE">
        <w:rPr>
          <w:vertAlign w:val="subscript"/>
        </w:rPr>
        <w:t>b</w:t>
      </w:r>
      <w:r w:rsidR="00BF35F9">
        <w:t xml:space="preserve">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t xml:space="preserve"> = 1</w:t>
      </w:r>
      <w:proofErr w:type="gramStart"/>
      <w:r w:rsidR="00BF35F9">
        <w:t>/(</w:t>
      </w:r>
      <w:proofErr w:type="gramEnd"/>
      <w:r w:rsidR="00BF35F9">
        <w:t xml:space="preserve">u ln(b))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  <w:r w:rsidR="00BF35F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</w:t>
      </w:r>
      <w:r w:rsidR="00BF35F9">
        <w:rPr>
          <w:noProof/>
        </w:rPr>
        <w:t>b</w:t>
      </w:r>
      <w:r w:rsidR="00BF35F9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u</w:t>
      </w:r>
      <w:r w:rsidR="00BF35F9">
        <w:rPr>
          <w:noProof/>
        </w:rPr>
        <w:t xml:space="preserve">  =  b</w:t>
      </w:r>
      <w:r w:rsidR="00BF35F9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u</w:t>
      </w:r>
      <w:r w:rsidR="00BF35F9">
        <w:rPr>
          <w:noProof/>
        </w:rPr>
        <w:t xml:space="preserve"> ln(b)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</w:p>
    <w:p w14:paraId="41FB2641" w14:textId="77777777" w:rsidR="00BF35F9" w:rsidRDefault="00BF35F9" w:rsidP="00BF35F9">
      <w:pPr>
        <w:ind w:left="720"/>
      </w:pPr>
    </w:p>
    <w:p w14:paraId="5AF76E71" w14:textId="67D21874" w:rsidR="00BF35F9" w:rsidRDefault="00000000" w:rsidP="00BF35F9">
      <w:pPr>
        <w:ind w:left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ln </w:t>
      </w:r>
      <w:r w:rsidR="00BF35F9">
        <w:rPr>
          <w:rFonts w:ascii="Times New Roman" w:hAnsi="Times New Roman" w:cs="Times New Roman"/>
          <w:i/>
          <w:iCs/>
          <w:sz w:val="32"/>
          <w:szCs w:val="32"/>
        </w:rPr>
        <w:t>u</w:t>
      </w:r>
      <w:r w:rsidR="00BF35F9">
        <w:t xml:space="preserve"> = </w:t>
      </w:r>
      <w:r w:rsidR="00BF35F9" w:rsidRPr="000A167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</m:oMath>
      <w:r w:rsidR="00BF35F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  <w:r w:rsidR="00BF35F9">
        <w:tab/>
      </w:r>
      <w:r w:rsidR="00BF35F9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 xml:space="preserve">  </w:t>
      </w:r>
      <w:proofErr w:type="spellStart"/>
      <w:r w:rsidR="00BF35F9">
        <w:t>e</w:t>
      </w:r>
      <w:r w:rsidR="00BF35F9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u</w:t>
      </w:r>
      <w:proofErr w:type="spellEnd"/>
      <w:r w:rsidR="00BF35F9" w:rsidRPr="007B2FAE">
        <w:rPr>
          <w:vertAlign w:val="superscript"/>
        </w:rPr>
        <w:t xml:space="preserve"> </w:t>
      </w:r>
      <w:r w:rsidR="00BF35F9">
        <w:t xml:space="preserve"> </w:t>
      </w:r>
      <w:proofErr w:type="gramStart"/>
      <w:r w:rsidR="00BF35F9">
        <w:t xml:space="preserve">=  </w:t>
      </w:r>
      <w:proofErr w:type="spellStart"/>
      <w:r w:rsidR="00BF35F9">
        <w:t>e</w:t>
      </w:r>
      <w:r w:rsidR="00BF35F9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u</w:t>
      </w:r>
      <w:proofErr w:type="spellEnd"/>
      <w:proofErr w:type="gramEnd"/>
      <m:oMath>
        <m:r>
          <w:rPr>
            <w:rFonts w:ascii="Cambria Math" w:hAnsi="Cambria Math" w:cs="Times New Roman"/>
            <w:sz w:val="32"/>
            <w:szCs w:val="32"/>
            <w:vertAlign w:val="superscript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BF35F9">
        <w:tab/>
      </w:r>
    </w:p>
    <w:p w14:paraId="5B4C3A3C" w14:textId="5B3A8E22" w:rsidR="00F00324" w:rsidRDefault="009B1847" w:rsidP="00F00324">
      <w:r>
        <w:rPr>
          <w:noProof/>
        </w:rPr>
        <w:drawing>
          <wp:anchor distT="0" distB="0" distL="114300" distR="114300" simplePos="0" relativeHeight="251660800" behindDoc="1" locked="0" layoutInCell="1" allowOverlap="1" wp14:anchorId="32A745F9" wp14:editId="09037030">
            <wp:simplePos x="0" y="0"/>
            <wp:positionH relativeFrom="column">
              <wp:posOffset>-333375</wp:posOffset>
            </wp:positionH>
            <wp:positionV relativeFrom="paragraph">
              <wp:posOffset>240665</wp:posOffset>
            </wp:positionV>
            <wp:extent cx="3019425" cy="356616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8B604" w14:textId="165B1F44" w:rsidR="00AB1227" w:rsidRDefault="00AB1227"/>
    <w:p w14:paraId="40CB3484" w14:textId="4EAA8A5D" w:rsidR="00AB1227" w:rsidRDefault="00AB1227"/>
    <w:p w14:paraId="7F8AE687" w14:textId="2DD25511" w:rsidR="00AB1227" w:rsidRDefault="00B744CB">
      <w:r>
        <w:rPr>
          <w:noProof/>
        </w:rPr>
        <w:drawing>
          <wp:anchor distT="0" distB="0" distL="114300" distR="114300" simplePos="0" relativeHeight="251658240" behindDoc="1" locked="0" layoutInCell="1" allowOverlap="1" wp14:anchorId="37BB7925" wp14:editId="6422B37B">
            <wp:simplePos x="0" y="0"/>
            <wp:positionH relativeFrom="column">
              <wp:posOffset>2819400</wp:posOffset>
            </wp:positionH>
            <wp:positionV relativeFrom="paragraph">
              <wp:posOffset>88900</wp:posOffset>
            </wp:positionV>
            <wp:extent cx="3980147" cy="2716862"/>
            <wp:effectExtent l="0" t="0" r="1905" b="7620"/>
            <wp:wrapNone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47" cy="271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88D16" w14:textId="5904F25A" w:rsidR="00AB1227" w:rsidRDefault="00AB1227"/>
    <w:p w14:paraId="035FAB04" w14:textId="366CC594" w:rsidR="00AB1227" w:rsidRDefault="00AB1227"/>
    <w:p w14:paraId="45B4AF1B" w14:textId="3FAE7893" w:rsidR="00AB1227" w:rsidRDefault="00AB1227"/>
    <w:p w14:paraId="23546A1C" w14:textId="78776B51" w:rsidR="00AB1227" w:rsidRDefault="00AB1227"/>
    <w:p w14:paraId="185CF6A4" w14:textId="416EC0ED" w:rsidR="00AB1227" w:rsidRDefault="00AB1227"/>
    <w:p w14:paraId="50EC2BA6" w14:textId="0F535A32" w:rsidR="00AB1227" w:rsidRDefault="00AB1227"/>
    <w:p w14:paraId="0BB7F04E" w14:textId="2A8AA665" w:rsidR="00AB1227" w:rsidRDefault="00AB1227"/>
    <w:p w14:paraId="241E442A" w14:textId="3829C012" w:rsidR="00AB1227" w:rsidRDefault="00AB1227"/>
    <w:p w14:paraId="34BA50F3" w14:textId="6AC04F05" w:rsidR="00AB1227" w:rsidRDefault="00AB1227"/>
    <w:p w14:paraId="6EA45D5D" w14:textId="329E9DDD" w:rsidR="00AB1227" w:rsidRDefault="00AB1227"/>
    <w:p w14:paraId="0A1B027A" w14:textId="493AB7F8" w:rsidR="00AB1227" w:rsidRDefault="00AB1227"/>
    <w:p w14:paraId="6CB08107" w14:textId="4A52E4E0" w:rsidR="00AB1227" w:rsidRDefault="00AB1227"/>
    <w:p w14:paraId="69233E9D" w14:textId="0825F3B1" w:rsidR="00AB1227" w:rsidRDefault="00AB1227"/>
    <w:p w14:paraId="33027AEF" w14:textId="0132EE0E" w:rsidR="00AB1227" w:rsidRDefault="00AB1227"/>
    <w:p w14:paraId="19E350A7" w14:textId="4099C7AC" w:rsidR="00AB1227" w:rsidRDefault="00AB1227"/>
    <w:p w14:paraId="668DEEE1" w14:textId="6E122AB7" w:rsidR="00AB1227" w:rsidRDefault="00AB1227"/>
    <w:p w14:paraId="1F16D2FA" w14:textId="748A2115" w:rsidR="00F00324" w:rsidRPr="00453011" w:rsidRDefault="00331404" w:rsidP="00453011">
      <w:pPr>
        <w:pStyle w:val="body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Area Under a Curve</w:t>
      </w:r>
    </w:p>
    <w:sectPr w:rsidR="00F00324" w:rsidRPr="00453011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740"/>
    <w:multiLevelType w:val="hybridMultilevel"/>
    <w:tmpl w:val="65923242"/>
    <w:lvl w:ilvl="0" w:tplc="8E969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706C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14C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A2AA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6AE0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8033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3E5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40F1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C29E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57586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A1677"/>
    <w:rsid w:val="000A2E5D"/>
    <w:rsid w:val="00151A62"/>
    <w:rsid w:val="00152B5F"/>
    <w:rsid w:val="001C7BC1"/>
    <w:rsid w:val="002003CB"/>
    <w:rsid w:val="00204D7E"/>
    <w:rsid w:val="00210516"/>
    <w:rsid w:val="002854FB"/>
    <w:rsid w:val="002A09A0"/>
    <w:rsid w:val="00331404"/>
    <w:rsid w:val="00351730"/>
    <w:rsid w:val="00377277"/>
    <w:rsid w:val="00385634"/>
    <w:rsid w:val="0039146A"/>
    <w:rsid w:val="00397A2A"/>
    <w:rsid w:val="003B0BDE"/>
    <w:rsid w:val="0040249D"/>
    <w:rsid w:val="00453011"/>
    <w:rsid w:val="00465A09"/>
    <w:rsid w:val="0049770F"/>
    <w:rsid w:val="004C754C"/>
    <w:rsid w:val="00502586"/>
    <w:rsid w:val="00523933"/>
    <w:rsid w:val="00527F72"/>
    <w:rsid w:val="005A08FD"/>
    <w:rsid w:val="005E6FA9"/>
    <w:rsid w:val="006D09A4"/>
    <w:rsid w:val="00714C17"/>
    <w:rsid w:val="0075725C"/>
    <w:rsid w:val="00780898"/>
    <w:rsid w:val="007B2FAE"/>
    <w:rsid w:val="00812533"/>
    <w:rsid w:val="00816126"/>
    <w:rsid w:val="00826689"/>
    <w:rsid w:val="0092417F"/>
    <w:rsid w:val="009716E3"/>
    <w:rsid w:val="009A7F44"/>
    <w:rsid w:val="009B1847"/>
    <w:rsid w:val="009B6F13"/>
    <w:rsid w:val="009D57D2"/>
    <w:rsid w:val="009D5BEA"/>
    <w:rsid w:val="00A17FBD"/>
    <w:rsid w:val="00A5616E"/>
    <w:rsid w:val="00AB1227"/>
    <w:rsid w:val="00AD67C2"/>
    <w:rsid w:val="00B42EAD"/>
    <w:rsid w:val="00B744CB"/>
    <w:rsid w:val="00B82C6F"/>
    <w:rsid w:val="00B833AE"/>
    <w:rsid w:val="00BB6BAF"/>
    <w:rsid w:val="00BD20E7"/>
    <w:rsid w:val="00BE059C"/>
    <w:rsid w:val="00BE7EB7"/>
    <w:rsid w:val="00BF0B75"/>
    <w:rsid w:val="00BF1B50"/>
    <w:rsid w:val="00BF35F9"/>
    <w:rsid w:val="00C108BA"/>
    <w:rsid w:val="00C6022C"/>
    <w:rsid w:val="00C70DB0"/>
    <w:rsid w:val="00CE58B0"/>
    <w:rsid w:val="00CF06B0"/>
    <w:rsid w:val="00CF48D2"/>
    <w:rsid w:val="00DD58EF"/>
    <w:rsid w:val="00E95EDC"/>
    <w:rsid w:val="00EA5001"/>
    <w:rsid w:val="00F00324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  <w:style w:type="character" w:styleId="Hyperlink">
    <w:name w:val="Hyperlink"/>
    <w:semiHidden/>
    <w:rsid w:val="00BD20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D20E7"/>
    <w:pPr>
      <w:autoSpaceDE w:val="0"/>
      <w:autoSpaceDN w:val="0"/>
      <w:adjustRightInd w:val="0"/>
      <w:ind w:left="720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20E7"/>
    <w:rPr>
      <w:szCs w:val="22"/>
    </w:rPr>
  </w:style>
  <w:style w:type="paragraph" w:customStyle="1" w:styleId="body">
    <w:name w:val="body"/>
    <w:basedOn w:val="Normal"/>
    <w:rsid w:val="00BD20E7"/>
    <w:pPr>
      <w:spacing w:line="360" w:lineRule="auto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B5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87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4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5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9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05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Wk09 Readings – Reverse Chain Rule, Definite Integrals and </vt:lpstr>
      <vt:lpstr>    Area Under a Curve</vt:lpstr>
      <vt:lpstr>        Definite Integral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26</cp:revision>
  <dcterms:created xsi:type="dcterms:W3CDTF">2020-11-21T22:46:00Z</dcterms:created>
  <dcterms:modified xsi:type="dcterms:W3CDTF">2023-01-10T10:34:00Z</dcterms:modified>
</cp:coreProperties>
</file>